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770E" w14:textId="77777777" w:rsidR="009C0A31" w:rsidRPr="00B616D6" w:rsidRDefault="00E15245" w:rsidP="009C0A31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</w:p>
    <w:p w14:paraId="7CD25A9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CE9E1C5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386FBBD" w14:textId="77777777" w:rsidR="009C0A31" w:rsidRPr="00B616D6" w:rsidRDefault="009C0A31" w:rsidP="009C0A31">
      <w:pPr>
        <w:spacing w:after="120"/>
        <w:jc w:val="center"/>
        <w:rPr>
          <w:rFonts w:ascii="Times New Roman" w:eastAsia="MS Mincho" w:hAnsi="Times New Roman" w:cs="Times New Roman"/>
          <w:sz w:val="56"/>
          <w:szCs w:val="56"/>
        </w:rPr>
      </w:pPr>
      <w:r w:rsidRPr="00B616D6">
        <w:rPr>
          <w:rFonts w:ascii="Times New Roman" w:eastAsia="MS Mincho" w:hAnsi="Times New Roman" w:cs="Times New Roman"/>
          <w:b/>
          <w:color w:val="2D5A27"/>
          <w:sz w:val="56"/>
          <w:szCs w:val="56"/>
        </w:rPr>
        <w:t>Éves Beszámoló</w:t>
      </w:r>
    </w:p>
    <w:p w14:paraId="3E1CBC84" w14:textId="77777777" w:rsidR="009C0A31" w:rsidRPr="00B616D6" w:rsidRDefault="009C0A31" w:rsidP="009C0A31">
      <w:pPr>
        <w:spacing w:after="120"/>
        <w:jc w:val="center"/>
        <w:rPr>
          <w:rFonts w:ascii="Times New Roman" w:eastAsia="MS Mincho" w:hAnsi="Times New Roman" w:cs="Times New Roman"/>
          <w:b/>
          <w:sz w:val="36"/>
          <w:szCs w:val="36"/>
        </w:rPr>
      </w:pPr>
    </w:p>
    <w:p w14:paraId="0EFC42C4" w14:textId="77777777" w:rsidR="009C0A31" w:rsidRPr="00B616D6" w:rsidRDefault="009C0A31" w:rsidP="009C0A31">
      <w:pPr>
        <w:spacing w:after="120"/>
        <w:jc w:val="center"/>
        <w:rPr>
          <w:rFonts w:ascii="Times New Roman" w:eastAsia="MS Mincho" w:hAnsi="Times New Roman" w:cs="Times New Roman"/>
          <w:b/>
          <w:sz w:val="36"/>
          <w:szCs w:val="36"/>
        </w:rPr>
      </w:pPr>
    </w:p>
    <w:p w14:paraId="74F6D720" w14:textId="77777777" w:rsidR="009C0A31" w:rsidRPr="00B616D6" w:rsidRDefault="009C0A31" w:rsidP="009C0A31">
      <w:pPr>
        <w:spacing w:after="120"/>
        <w:jc w:val="center"/>
        <w:rPr>
          <w:rFonts w:ascii="Times New Roman" w:eastAsia="MS Mincho" w:hAnsi="Times New Roman" w:cs="Times New Roman"/>
          <w:b/>
          <w:sz w:val="36"/>
          <w:szCs w:val="36"/>
        </w:rPr>
      </w:pPr>
    </w:p>
    <w:p w14:paraId="0D4147F1" w14:textId="77777777" w:rsidR="009C0A31" w:rsidRPr="00B616D6" w:rsidRDefault="009C0A31" w:rsidP="009C0A31">
      <w:pPr>
        <w:spacing w:after="120"/>
        <w:jc w:val="center"/>
        <w:rPr>
          <w:rFonts w:ascii="Times New Roman" w:eastAsia="MS Mincho" w:hAnsi="Times New Roman" w:cs="Times New Roman"/>
          <w:b/>
          <w:sz w:val="36"/>
          <w:szCs w:val="36"/>
        </w:rPr>
      </w:pPr>
    </w:p>
    <w:p w14:paraId="0C744BD8" w14:textId="3CA7D273" w:rsidR="009C0A31" w:rsidRPr="00B616D6" w:rsidRDefault="009C0A31" w:rsidP="009C0A31">
      <w:pPr>
        <w:spacing w:after="120"/>
        <w:jc w:val="center"/>
        <w:rPr>
          <w:rFonts w:ascii="Times New Roman" w:eastAsia="MS Mincho" w:hAnsi="Times New Roman" w:cs="Times New Roman"/>
          <w:sz w:val="36"/>
          <w:szCs w:val="36"/>
        </w:rPr>
      </w:pPr>
      <w:r w:rsidRPr="00B616D6">
        <w:rPr>
          <w:rFonts w:ascii="Times New Roman" w:eastAsia="MS Mincho" w:hAnsi="Times New Roman" w:cs="Times New Roman"/>
          <w:b/>
          <w:sz w:val="36"/>
          <w:szCs w:val="36"/>
        </w:rPr>
        <w:t>2025-2026.</w:t>
      </w:r>
    </w:p>
    <w:p w14:paraId="648E4A33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36"/>
          <w:szCs w:val="36"/>
        </w:rPr>
      </w:pPr>
    </w:p>
    <w:p w14:paraId="62D3AE13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36"/>
          <w:szCs w:val="36"/>
        </w:rPr>
      </w:pPr>
    </w:p>
    <w:p w14:paraId="13116120" w14:textId="77777777" w:rsidR="009C0A31" w:rsidRPr="00B616D6" w:rsidRDefault="009C0A31" w:rsidP="009C0A31">
      <w:pPr>
        <w:spacing w:after="120"/>
        <w:rPr>
          <w:rFonts w:ascii="Times New Roman" w:eastAsia="MS Mincho" w:hAnsi="Times New Roman" w:cs="Times New Roman"/>
          <w:sz w:val="36"/>
          <w:szCs w:val="36"/>
        </w:rPr>
      </w:pPr>
    </w:p>
    <w:p w14:paraId="6DCA0B0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7B171776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3FEC01FA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5C14B440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153F2B0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C9211F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7AC739B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4FB7907A" w14:textId="77777777" w:rsidR="009C0A31" w:rsidRPr="00B616D6" w:rsidRDefault="009C0A31" w:rsidP="009C0A31">
      <w:pPr>
        <w:spacing w:after="120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14:paraId="09419BDB" w14:textId="1C71AAF1" w:rsidR="009C0A31" w:rsidRPr="00B616D6" w:rsidRDefault="009C0A31" w:rsidP="009C0A31">
      <w:pPr>
        <w:spacing w:after="120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Készítette: Horváth Andrea óvodaigazgató</w:t>
      </w:r>
    </w:p>
    <w:p w14:paraId="3504C9FF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13C60046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2E053F9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1A656C9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40044D9A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0021D7E1" w14:textId="06A18000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Jogszabályok:</w:t>
      </w:r>
    </w:p>
    <w:p w14:paraId="2D63786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2011. évi CXC. törvény a nemzeti köznevelésről</w:t>
      </w:r>
    </w:p>
    <w:p w14:paraId="5C0FD573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20/2012. (VIII. 31.) EMMI rendelet a nevelési-oktatási intézmények működéséről és a köznevelési intézmények névhasználatáról</w:t>
      </w:r>
    </w:p>
    <w:p w14:paraId="667C7B8F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363/2012. (XII. 17.) Korm. rendelet az Óvodai nevelés országos alapprogramjáról; 77/2025. (IV. 15.) Korm. rendelet annak módosításáról</w:t>
      </w:r>
    </w:p>
    <w:p w14:paraId="509D1489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2023. évi LII. törvény a pedagógusok új életpályájáról</w:t>
      </w:r>
    </w:p>
    <w:p w14:paraId="3529A1B7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401/2023. (VIII. 30.) Korm. rendelet a pedagógusok új életpályájáról szóló 2023. évi LII. törvény végrehajtásáról</w:t>
      </w:r>
    </w:p>
    <w:p w14:paraId="192DAA1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18/2024. (IV. 4.) BM rendelet a pedagógusok teljesítményértékeléséről</w:t>
      </w:r>
    </w:p>
    <w:p w14:paraId="07E23E0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1997. évi XXXI. törvény a gyermekek védelméről és a gyámügyi igazgatásról</w:t>
      </w:r>
    </w:p>
    <w:p w14:paraId="0D730D1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32/2012. (X. 8.) EMMI rendelet a Sajátos nevelési igényű gyermekek óvodai nevelésének irányelve</w:t>
      </w:r>
    </w:p>
    <w:p w14:paraId="11CA87DF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Helyi Pedagógiai Program, Bölcsődei Szakmai Program</w:t>
      </w:r>
    </w:p>
    <w:p w14:paraId="21CB3F4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SZMSZ (Szervezeti és Működési Szabályzat)</w:t>
      </w:r>
    </w:p>
    <w:p w14:paraId="0D47EC7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Házirend, Továbbképzési Program</w:t>
      </w:r>
    </w:p>
    <w:p w14:paraId="1B46C73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Éves munkaterv 2025/2026. nevelési év, Helyi Teljesítményértékelési Szabályzat</w:t>
      </w:r>
    </w:p>
    <w:p w14:paraId="0554DE0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br w:type="page"/>
      </w:r>
    </w:p>
    <w:p w14:paraId="23D74921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lastRenderedPageBreak/>
        <w:t>Bevezető</w:t>
      </w:r>
    </w:p>
    <w:p w14:paraId="3BF4CC01" w14:textId="20CD80C0" w:rsidR="009C0A31" w:rsidRPr="00B616D6" w:rsidRDefault="009C0A31" w:rsidP="009C0A31">
      <w:pPr>
        <w:spacing w:after="120" w:line="36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Óvodaigazgatóként a 2025/2026-os nevelési év szakmai értékelésekor kiemelt feladatomnak tekint</w:t>
      </w:r>
      <w:r w:rsidR="00B616D6" w:rsidRPr="00B616D6">
        <w:rPr>
          <w:rFonts w:ascii="Times New Roman" w:eastAsia="MS Mincho" w:hAnsi="Times New Roman" w:cs="Times New Roman"/>
          <w:sz w:val="24"/>
          <w:szCs w:val="24"/>
        </w:rPr>
        <w:t>e</w:t>
      </w:r>
      <w:r w:rsidR="00106D4B">
        <w:rPr>
          <w:rFonts w:ascii="Times New Roman" w:eastAsia="MS Mincho" w:hAnsi="Times New Roman" w:cs="Times New Roman"/>
          <w:sz w:val="24"/>
          <w:szCs w:val="24"/>
        </w:rPr>
        <w:t>t</w:t>
      </w:r>
      <w:r w:rsidR="00B616D6" w:rsidRPr="00B616D6">
        <w:rPr>
          <w:rFonts w:ascii="Times New Roman" w:eastAsia="MS Mincho" w:hAnsi="Times New Roman" w:cs="Times New Roman"/>
          <w:sz w:val="24"/>
          <w:szCs w:val="24"/>
        </w:rPr>
        <w:t>t</w:t>
      </w: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em, hogy a beszámoló a megvalósított munkatervi feladatok, az intézményi folyamatok és a gyermekek fejlődését szolgáló tevékenységek eredményeit tükrözze. </w:t>
      </w:r>
    </w:p>
    <w:p w14:paraId="151D3781" w14:textId="3270DAE0" w:rsidR="009C0A31" w:rsidRPr="00B616D6" w:rsidRDefault="009C0A31" w:rsidP="009C0A31">
      <w:pPr>
        <w:spacing w:after="120" w:line="36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Munkánk irányát a nevelési év mottója is jól kifejezi: „A gyermekeknek gyökerekre van szükségük, de szárnyakat is kell adnunk nekik.” A gyökerek számunkra az intézményi értékek, a hagyományok, a kiszámítható nevelési környezet és a partneri együttműködés megtartó erejét jelentik; a szárnyak pedig az egyéni szükségletekre építő fejlesztést, az élményalapú tanulást, az önállóság támogatását és az új tapasztalatok megszerzésének lehetőségét jelentik. </w:t>
      </w:r>
    </w:p>
    <w:p w14:paraId="6F86A27A" w14:textId="77777777" w:rsidR="009C0A31" w:rsidRPr="00B616D6" w:rsidRDefault="009C0A31" w:rsidP="009C0A31">
      <w:pPr>
        <w:spacing w:after="120" w:line="36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A beszámoló az intézményi önértékelés területei mentén mutatja be a nevelési év pedagógiai, szervezési és vezetési tapasztalatait. Célom nem csupán az elvégzett feladatok rögzítése, hanem az eredmények, a fejlesztendő területek és a következő időszak szakmai irányainak azonosítása is. </w:t>
      </w:r>
    </w:p>
    <w:p w14:paraId="5ADF8B34" w14:textId="4D026256" w:rsidR="009C0A31" w:rsidRPr="00B616D6" w:rsidRDefault="009C0A31" w:rsidP="00DD07AA">
      <w:pPr>
        <w:spacing w:after="120" w:line="36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Köszönöm </w:t>
      </w:r>
      <w:r w:rsidR="00DD07AA"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a fenntartó a </w:t>
      </w: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nevelőtestület, a nevelést oktatást segítő munkatársak, a </w:t>
      </w:r>
      <w:r w:rsidR="00106D4B"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szülők, és</w:t>
      </w: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valamennyi együttműködő partner felelős, támogató közreműködését, amely az intézmény eredményes működésének alapját adta</w:t>
      </w:r>
      <w:r w:rsidRPr="00B616D6">
        <w:rPr>
          <w:rFonts w:ascii="Times New Roman" w:eastAsia="MS Mincho" w:hAnsi="Times New Roman" w:cs="Times New Roman"/>
          <w:sz w:val="24"/>
          <w:szCs w:val="24"/>
        </w:rPr>
        <w:t>.</w:t>
      </w:r>
      <w:r w:rsidRPr="00B616D6">
        <w:rPr>
          <w:rFonts w:ascii="Times New Roman" w:eastAsia="MS Mincho" w:hAnsi="Times New Roman" w:cs="Times New Roman"/>
          <w:sz w:val="24"/>
          <w:szCs w:val="24"/>
        </w:rPr>
        <w:br w:type="page"/>
      </w: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lastRenderedPageBreak/>
        <w:t>1. Pedagógiai folyamatok</w:t>
      </w:r>
    </w:p>
    <w:p w14:paraId="4CEC3D0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Forrás: PP, SZMSZ, Továbbképzési/beiskolázási terv, Munkaterv, Beszámolók</w:t>
      </w:r>
    </w:p>
    <w:p w14:paraId="1DEF22E5" w14:textId="38E48EDB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 vezetése a belső és a külső partnerek bevonásával alkotja meg az intézmény stratégiai és operatív terveit (</w:t>
      </w:r>
      <w:r w:rsidR="00B616D6" w:rsidRPr="00B616D6">
        <w:rPr>
          <w:rFonts w:ascii="Times New Roman" w:eastAsia="MS Mincho" w:hAnsi="Times New Roman" w:cs="Times New Roman"/>
          <w:sz w:val="24"/>
          <w:szCs w:val="24"/>
        </w:rPr>
        <w:t xml:space="preserve"> Helyi P</w:t>
      </w: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edagógiai </w:t>
      </w:r>
      <w:r w:rsidR="00B616D6" w:rsidRPr="00B616D6">
        <w:rPr>
          <w:rFonts w:ascii="Times New Roman" w:eastAsia="MS Mincho" w:hAnsi="Times New Roman" w:cs="Times New Roman"/>
          <w:sz w:val="24"/>
          <w:szCs w:val="24"/>
        </w:rPr>
        <w:t>P</w:t>
      </w:r>
      <w:r w:rsidRPr="00B616D6">
        <w:rPr>
          <w:rFonts w:ascii="Times New Roman" w:eastAsia="MS Mincho" w:hAnsi="Times New Roman" w:cs="Times New Roman"/>
          <w:sz w:val="24"/>
          <w:szCs w:val="24"/>
        </w:rPr>
        <w:t>rogram). A stratégiai tervezés eredménye a pedagógiai program, amely rögzíti a célokat, amelyek befolyásolják az intézményi pedagógiai folyamatot. A terület értékelése során elsősorban a pedagógiai programban vagy más stratégiai dokumentumban megtalálható, a célok elérését biztosító pedagógiai folyamatok tervezési, megvalósítási, ellenőrzési és értékelési rendjének tudatosságát, az eredményeknek megfelelő és szükséges korrekciók elvégzésének hatásosságát, fejlesztő jellegét vizsgáltam meg.</w:t>
      </w:r>
    </w:p>
    <w:p w14:paraId="7A1A78B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Kulcsjellemzők:</w:t>
      </w:r>
    </w:p>
    <w:p w14:paraId="6496EAC9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 pedagógiai programja és alaptevékenysége világos; a nevelés, tanulási-tanítási folyamat tervezése, megvalósítása, ellenőrzése és értékelése során a gyermeki alapkészségek és kulcskompetenciák fejlesztésére koncentrál.</w:t>
      </w:r>
    </w:p>
    <w:p w14:paraId="0CBA123D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 céljai eléréséhez stratégiai és operatív tervekkel rendelkezik, amelyek elkészítéséhez bevonja a külső és belső partnereit.</w:t>
      </w:r>
    </w:p>
    <w:p w14:paraId="595A733E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tervek megvalósítása nyomon követhető; a napi pedagógiai gyakorlat a célok megvalósítását szolgálja. A nyomon követés az Ovikréta (eKréta) rendszeren keresztül elektronikusan történik.</w:t>
      </w:r>
    </w:p>
    <w:p w14:paraId="7E03FD7E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2025/2026. nevelési évben kiemelt feladat volt az ONOAP változásainak való megfelelés és a dokumentáció (csoportnaplók, felvételi és mulasztási naplók, egyéni fejlődési naplók) ellenőrzése.</w:t>
      </w:r>
    </w:p>
    <w:p w14:paraId="7A20C128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intézményben működő ellenőrzési rend alapján a tervek megvalósításának eredményessége és hatékonysága pontosan meghatározható.</w:t>
      </w:r>
    </w:p>
    <w:p w14:paraId="559F1B6F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értékelések eredményeinek visszacsatolása megtörténik, és az intézményi fejlesztések egyik alapját képezi.</w:t>
      </w:r>
    </w:p>
    <w:p w14:paraId="53EC4D8F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Pedagógiai folyamatok – Tervezés</w:t>
      </w:r>
    </w:p>
    <w:p w14:paraId="2B6857C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1.1. Hogyan valósul meg a stratégiai és operatív tervezés?</w:t>
      </w:r>
    </w:p>
    <w:p w14:paraId="5CFCCF5A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Az éves munkaterv összhangban van a stratégiai dokumentumokkal és a pedagógusok terveivel.</w:t>
      </w:r>
    </w:p>
    <w:p w14:paraId="69AB89E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 Pedagógiai Programjában és az éves Munkatervben meghatározásra kerültek az intézmény céljai és feladatai, amelyek alapján terveztük a nevelési, képzési, fejlesztési feladatainkat. A 2025/2026. nevelési év munkatervét a vezetői pályázatomban megfogalmazott törekvések és a pedagógiai program fő célkitűzései alapján, a nevelőtestület bevonásával, az egyéni észrevételek és javaslatok figyelembevételével készítettem el. Kiemelten kezeltük az óvodai élet hagyományainak ápolását és a fenntartható fejlődésre épülő nevelési rendszer folyamatos fejlesztését.</w:t>
      </w:r>
    </w:p>
    <w:p w14:paraId="74D67DC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Az intézmény céljai között meghatározó a gyermekközpontúság, az eltérő fejlődési ütem figyelembevétele, a játékba ágyazott tevékenységek tervezése és a rendezvénynaptár </w:t>
      </w:r>
      <w:r w:rsidRPr="00B616D6">
        <w:rPr>
          <w:rFonts w:ascii="Times New Roman" w:eastAsia="MS Mincho" w:hAnsi="Times New Roman" w:cs="Times New Roman"/>
          <w:sz w:val="24"/>
          <w:szCs w:val="24"/>
        </w:rPr>
        <w:lastRenderedPageBreak/>
        <w:t>összeállítása, amely összhangban van a település rendezvénynaptárával. A hagyományápoló tartalmak – Márton-nap, Lucázás, adventi és húsvéti szokások, májusfa – a nevelési folyamatba tervszerűen épültek be.</w:t>
      </w:r>
    </w:p>
    <w:p w14:paraId="63A4BFE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Erősségek, fejleszthető területek, fejlesztési javaslatok:</w:t>
      </w:r>
    </w:p>
    <w:p w14:paraId="42628471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Erősségek:</w:t>
      </w:r>
    </w:p>
    <w:p w14:paraId="587FAB21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 játék, mint életkori sajátosság elsődlegességének hangsúlyozása;</w:t>
      </w:r>
    </w:p>
    <w:p w14:paraId="34D50727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 hagyományőrző tevékenységek további megismerése és beépítése a nevelési folyamatokba (szüret, Márton-nap, lucázás, farsang, kiszebábégetés);</w:t>
      </w:r>
    </w:p>
    <w:p w14:paraId="6B8027CD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 néptánc- és zenei foglalkozások hangsúlyos megjelenése a tevékenységek szervezésében;</w:t>
      </w:r>
    </w:p>
    <w:p w14:paraId="2E83CC00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 könyvtári és múzeumi programok beépítése a nevelőmunkába;</w:t>
      </w:r>
    </w:p>
    <w:p w14:paraId="1135DE77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 helyi sajátosságok és a világnapok széleskörű megünneplése;</w:t>
      </w:r>
    </w:p>
    <w:p w14:paraId="5AA43320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 környezeti nevelés, fenntartható fejlődés céljainak megjelenítése az éves tervezésben</w:t>
      </w:r>
      <w:r w:rsidRPr="00B616D6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684A3FC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Fejleszthető területek:</w:t>
      </w:r>
    </w:p>
    <w:p w14:paraId="037E418A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tehetségígéretek egyéni kibontakoztatásának, a hátránycsökkentés bővítésének további tartalmi gazdagítása;</w:t>
      </w:r>
    </w:p>
    <w:p w14:paraId="1DA5091A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mozgásfejlesztés lehetőségeinek bővítése;</w:t>
      </w:r>
    </w:p>
    <w:p w14:paraId="5F5AE63D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Pedagógiai folyamatok – Megvalósítás</w:t>
      </w:r>
    </w:p>
    <w:p w14:paraId="3D3F8A0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1.2. Milyen az intézmény működését irányító éves tervek és a beszámolók viszonya, hogyan épülnek egymásra?</w:t>
      </w:r>
    </w:p>
    <w:p w14:paraId="499FF109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 nevelési év végi beszámoló megállapításai alapján történik a következő nevelési év tervezése.</w:t>
      </w:r>
    </w:p>
    <w:p w14:paraId="17EEB7B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nevelési célokat és feladatokat megterveztük, megvalósításukat a programterv ütemezése szerint követtük. A csoportok életében hangsúlyosan terveztük meg az óvodán kívüli élményeket, kirándulásokat (szüreti felvonulás Szekszárdon, múzeumlátogatás, könyvtárlátogatás, séták, tanulmányi kirándulások).</w:t>
      </w:r>
    </w:p>
    <w:p w14:paraId="3C0AD25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Pedagógiai Programunk megfelel az Óvodai nevelés országos alapprogramjában megfogalmazott alapelveknek; a 77/2025. (IV. 15.) Korm. rendelettel bevezetett ONOAP-változások átvezetése a nevelési év során folyamatosan megtörtént. A dokumentációt (Ovikréta csoportnapló, felvételi és mulasztási napló, egyéni fejlődési napló) az elvárásoknak megfelelően, naprakészen vezettük.</w:t>
      </w:r>
    </w:p>
    <w:p w14:paraId="0633BB1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nevelés nélküli munkanapokat szakmai továbbképzésre, valamint tervezési és értékelési feladatokra használtuk fel, a szülők tájékoztatása mellett.</w:t>
      </w:r>
    </w:p>
    <w:p w14:paraId="099DC571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Erősségek, fejleszthető területek, fejlesztési javaslatok:</w:t>
      </w:r>
    </w:p>
    <w:p w14:paraId="04AC303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Fejleszthető területek:</w:t>
      </w:r>
    </w:p>
    <w:p w14:paraId="5CC31967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tartalmak tudatos bővítése, színesítése az óvodapedagógusok egyéni ötleteinek kihasználásával;</w:t>
      </w:r>
    </w:p>
    <w:p w14:paraId="43B279AE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fenntartható fejlődés szemléletének tudatos beépítése a mindennapokba;</w:t>
      </w:r>
    </w:p>
    <w:p w14:paraId="30F2EC51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lastRenderedPageBreak/>
        <w:t>a pedagógusok egyéni erősségeinek beépítése a nevelési helyzetekbe.</w:t>
      </w:r>
    </w:p>
    <w:p w14:paraId="7260ACAD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Pedagógiai folyamatok – Ellenőrzés</w:t>
      </w:r>
    </w:p>
    <w:p w14:paraId="01CD4D1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1.3. Hogyan működik az ellenőrzés az intézményben?</w:t>
      </w:r>
    </w:p>
    <w:p w14:paraId="3C13B9C9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Az intézményi stratégiai alapdokumentumok alapján az intézményben belső ellenőrzést végeznek.</w:t>
      </w:r>
    </w:p>
    <w:p w14:paraId="5BCB179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intézményben a belső ellenőrzés a munkatervben rögzített belső ellenőrzési terv szerint, tervezett és esetenkénti megfigyeléssel, dokumentumellenőrzéssel történt. Az intézményi szintű belső ellenőrzést az intézményvezető végezte; az ellenőrzés tapasztalatait az eKréta rendszerben és a csoportnaplóban rögzítettük, és minden esetben megbeszélés követte.</w:t>
      </w:r>
    </w:p>
    <w:p w14:paraId="1955800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belső ellenőrzési terv havi bontásban határozta meg az ellenőrzési területeket: csoportnaplók ellenőrzése (havonta), felvételi és mulasztási naplók, KIR-STAT statisztika, ünnepek, séták-kirándulások, szülői értekezletek, valamint a munkáltatói feladatok (munkaidő betartása, munkaköri leírások, munkavédelem, HACCP).</w:t>
      </w:r>
    </w:p>
    <w:p w14:paraId="001C996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ellenőrzés kiterjedt a dajkák munkájára is: a pedagógiai program, az SZMSZ és a Házirend ismerete, a higiéniai, munkavédelmi és vagyonvédelmi előírások betartása.</w:t>
      </w:r>
    </w:p>
    <w:p w14:paraId="6434F11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Erősségek, fejleszthető területek, fejlesztési javaslatok:</w:t>
      </w:r>
    </w:p>
    <w:p w14:paraId="5E1294F7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Erősségek:</w:t>
      </w:r>
    </w:p>
    <w:p w14:paraId="09E9AF23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kommunikáció és az információáramlás tudatos tervezése, koordinációja;</w:t>
      </w:r>
    </w:p>
    <w:p w14:paraId="64F0784D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folyamatos egyeztetés és a konfliktusok azonnali, kompromisszumos kezelése;</w:t>
      </w:r>
    </w:p>
    <w:p w14:paraId="784410B7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havi ütemezésű, dokumentált belső ellenőrzés működtetése.</w:t>
      </w:r>
    </w:p>
    <w:p w14:paraId="66422827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Fejleszthető területek:</w:t>
      </w:r>
    </w:p>
    <w:p w14:paraId="130B3AC2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belső ellenőrzés tapasztalatainak még rendszeresebb visszacsatolása a fejlesztésekbe.</w:t>
      </w:r>
    </w:p>
    <w:p w14:paraId="30D9EF1B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Pedagógiai folyamatok – Értékelés</w:t>
      </w:r>
    </w:p>
    <w:p w14:paraId="33B6B55A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1.4. Milyen a pedagógiai programban meghatározott gyermeki értékelés működése a gyakorlatban?</w:t>
      </w:r>
    </w:p>
    <w:p w14:paraId="03580FA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 pedagógiai programnak és az egyéni fejlesztési terveknek megfelelően történik az egyénre szabott értékelés, amely a fejlődési naplóban nyomon követhető.</w:t>
      </w:r>
    </w:p>
    <w:p w14:paraId="645DE205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gyermekek fejlődését az egyéni fejlődési naplókban és a fejlesztési tervekben folyamatosan követjük, dokumentáljuk és elemezzük. A gyermekek eredményeiről fejlesztő céllal, folyamatosan visszacsatolnak a pedagógusok a szülőknek/gondviselőnek az életkornak és a fejlettségi szintnek megfelelő formában.</w:t>
      </w:r>
    </w:p>
    <w:p w14:paraId="00B4BDE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szülők felé évente legalább kétszer visszacsatolás történik; a fogadóórák és értékelő megbeszélések keretében a gyermek egyéni fejlődéséről, erősségeiről és fejlesztendő területeiről adunk tájékoztatást, beleértve az iskolaérettséggel kapcsolatos információkat és a HH/HHH gyermekek fejlődéséről szóló tájékoztatást is.</w:t>
      </w:r>
    </w:p>
    <w:p w14:paraId="7F048209" w14:textId="77777777" w:rsidR="00DD07AA" w:rsidRPr="00B616D6" w:rsidRDefault="00DD07AA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30E6D3FD" w14:textId="21E23B2A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Erősségek, fejleszthető területek, fejlesztési javaslatok:</w:t>
      </w:r>
    </w:p>
    <w:p w14:paraId="225F4EC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Fejleszthető területek:</w:t>
      </w:r>
    </w:p>
    <w:p w14:paraId="3D5EF52A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 szülőkben a család elsődleges nevelési szerepének további erősítése;</w:t>
      </w:r>
    </w:p>
    <w:p w14:paraId="7EF0108D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az egyéni beszélgetések és fogadóórák iránti növekvő szülői igény kiszolgálása</w:t>
      </w:r>
      <w:r w:rsidRPr="00B616D6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5AB7F3E5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Pedagógiai folyamatok – Korrekció</w:t>
      </w:r>
    </w:p>
    <w:p w14:paraId="5E149000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1.5. Mi történik az ellenőrzés eredményeivel?</w:t>
      </w:r>
    </w:p>
    <w:p w14:paraId="55E53AD9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Az intézmény stratégiai és operatív dokumentumainak elkészítése, módosítása során megtörténik az ellenőrzések során feltárt információk felhasználása.</w:t>
      </w:r>
    </w:p>
    <w:p w14:paraId="560F716B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Ha szükséges, felülvizsgáljuk a megvalósítás mértékét, és módosítjuk a pedagógiai programot, nevelési feladatainkat. A 363/2012. (XII. 17.) Korm. rendelet módosítása (77/2025. (IV. 15.) Korm. rendelet) után a Pedagógiai Programot a változások alapján felülvizsgáljuk, a változtatásokat a következő éves munkatervbe beépítjük.</w:t>
      </w:r>
    </w:p>
    <w:p w14:paraId="297F06D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nevelőtestület törekszik az innovatív szemlélet és gondolkodásmód kialakítására. Az intézményben működő bölcsőde jó lehetőséget teremt a szakmai együttműködésre a gyermekek fejlődésének nyomon követésében; a bölcsődei és óvodai nevelés átmenete jól kidolgozott rendszer a két szervezeti egységben.</w:t>
      </w:r>
    </w:p>
    <w:p w14:paraId="093722D5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Erősségek, fejleszthető területek, fejlesztési javaslatok:</w:t>
      </w:r>
    </w:p>
    <w:p w14:paraId="233FF0F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Erősségek:</w:t>
      </w:r>
    </w:p>
    <w:p w14:paraId="670CE8CF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mini bölcsődei feladatok magas színvonalú működése, az állandóság biztosítása;</w:t>
      </w:r>
    </w:p>
    <w:p w14:paraId="754C314D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két intézményegység szervezési feladatainak összehangolása, a szakmai együttműködés.</w:t>
      </w:r>
    </w:p>
    <w:p w14:paraId="070C4A97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Fejleszthető területek:</w:t>
      </w:r>
    </w:p>
    <w:p w14:paraId="7D9640D1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közös gondolkodás és a szervezési összehangolás további fejlesztése.</w:t>
      </w:r>
    </w:p>
    <w:p w14:paraId="08419A73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2. Személyiség- és közösségfejlesztés</w:t>
      </w:r>
    </w:p>
    <w:p w14:paraId="57CEDF7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Forrás: PP, Munkaterv</w:t>
      </w:r>
    </w:p>
    <w:p w14:paraId="365F4F6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Adatszolgáltatás: októberi statisztikai és aktuális adatok</w:t>
      </w:r>
    </w:p>
    <w:p w14:paraId="0175788A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Személyiségfejlesztés</w:t>
      </w:r>
    </w:p>
    <w:p w14:paraId="129DE50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2.1. Hogyan történik a gyermekek szociális hátrányainak enyhítése?</w:t>
      </w:r>
    </w:p>
    <w:p w14:paraId="4E672AE9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 kiemelt figyelmet igénylő gyermekek mindegyikénél rendelkeznek a pedagógusok megfelelő információkkal, és alkalmazzák azokat a nevelő, fejlesztő és oktató munkájukban.</w:t>
      </w:r>
    </w:p>
    <w:p w14:paraId="66E5FFE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 vezetése és érintett pedagógusa információkkal rendelkezik minden gyermek szociális helyzetéről, különös tekintettel a kiemelt figyelmet igénylőkre. Az esélyegyenlőséget támogató program keretében nyilvántartjuk a HH/HHH gyermekek határozatait, értékelő megbeszéléseket szervezünk a szülőkkel, a gyámmal és a gyermekjóléti szakemberrel, és gondoskodunk a programok projektfelelőseinek kijelöléséről.</w:t>
      </w:r>
    </w:p>
    <w:p w14:paraId="20981000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lastRenderedPageBreak/>
        <w:t>Az eltérő fejlődésű gyermekeket szakemberhez irányítjuk, a szakértői véleményeket beszerezzük, differenciált feladatokat határozunk meg; folyamatos a kapcsolattartás a gyógypedagógussal, logopédussal és fejlesztőpedagógussal.</w:t>
      </w:r>
    </w:p>
    <w:p w14:paraId="04AA8EDE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A nevelési év fejlesztési folyamat alapadatai</w:t>
      </w:r>
    </w:p>
    <w:p w14:paraId="1E379D56" w14:textId="6AFD93EB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298"/>
        <w:gridCol w:w="2397"/>
        <w:gridCol w:w="2367"/>
      </w:tblGrid>
      <w:tr w:rsidR="009C0A31" w:rsidRPr="00B616D6" w14:paraId="3B68FEBB" w14:textId="77777777" w:rsidTr="00905C7E">
        <w:tc>
          <w:tcPr>
            <w:tcW w:w="5102" w:type="dxa"/>
            <w:shd w:val="clear" w:color="auto" w:fill="DCE8DA"/>
          </w:tcPr>
          <w:p w14:paraId="569BB90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Megnevezés</w:t>
            </w:r>
          </w:p>
        </w:tc>
        <w:tc>
          <w:tcPr>
            <w:tcW w:w="2880" w:type="dxa"/>
            <w:shd w:val="clear" w:color="auto" w:fill="DCE8DA"/>
          </w:tcPr>
          <w:p w14:paraId="2F16BBCE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Nevelési év eleje</w:t>
            </w:r>
          </w:p>
        </w:tc>
        <w:tc>
          <w:tcPr>
            <w:tcW w:w="2880" w:type="dxa"/>
            <w:shd w:val="clear" w:color="auto" w:fill="DCE8DA"/>
          </w:tcPr>
          <w:p w14:paraId="162F9B64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Nevelési év vége</w:t>
            </w:r>
          </w:p>
        </w:tc>
      </w:tr>
      <w:tr w:rsidR="009C0A31" w:rsidRPr="00B616D6" w14:paraId="560C8A35" w14:textId="77777777" w:rsidTr="00905C7E">
        <w:tc>
          <w:tcPr>
            <w:tcW w:w="5102" w:type="dxa"/>
          </w:tcPr>
          <w:p w14:paraId="460116A3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Beírt gyermekek száma</w:t>
            </w:r>
          </w:p>
        </w:tc>
        <w:tc>
          <w:tcPr>
            <w:tcW w:w="2880" w:type="dxa"/>
          </w:tcPr>
          <w:p w14:paraId="32CE48BA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35 fő óvodás</w:t>
            </w:r>
          </w:p>
          <w:p w14:paraId="2EC8D56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7 fő bölcsődés</w:t>
            </w:r>
          </w:p>
        </w:tc>
        <w:tc>
          <w:tcPr>
            <w:tcW w:w="2880" w:type="dxa"/>
          </w:tcPr>
          <w:p w14:paraId="69B05F8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37 fő </w:t>
            </w:r>
          </w:p>
          <w:p w14:paraId="2E4CDECF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7 fő</w:t>
            </w:r>
          </w:p>
        </w:tc>
      </w:tr>
      <w:tr w:rsidR="009C0A31" w:rsidRPr="00B616D6" w14:paraId="49ADFE53" w14:textId="77777777" w:rsidTr="00905C7E">
        <w:tc>
          <w:tcPr>
            <w:tcW w:w="5102" w:type="dxa"/>
          </w:tcPr>
          <w:p w14:paraId="3A1EF96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HH gyermek</w:t>
            </w:r>
          </w:p>
        </w:tc>
        <w:tc>
          <w:tcPr>
            <w:tcW w:w="2880" w:type="dxa"/>
          </w:tcPr>
          <w:p w14:paraId="5151EE2E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4 fő</w:t>
            </w:r>
          </w:p>
        </w:tc>
        <w:tc>
          <w:tcPr>
            <w:tcW w:w="2880" w:type="dxa"/>
          </w:tcPr>
          <w:p w14:paraId="4F2B42C9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4 fő</w:t>
            </w:r>
          </w:p>
        </w:tc>
      </w:tr>
      <w:tr w:rsidR="009C0A31" w:rsidRPr="00B616D6" w14:paraId="23AECFC5" w14:textId="77777777" w:rsidTr="00905C7E">
        <w:tc>
          <w:tcPr>
            <w:tcW w:w="5102" w:type="dxa"/>
          </w:tcPr>
          <w:p w14:paraId="33027FCF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HHH gyermek</w:t>
            </w:r>
          </w:p>
        </w:tc>
        <w:tc>
          <w:tcPr>
            <w:tcW w:w="2880" w:type="dxa"/>
          </w:tcPr>
          <w:p w14:paraId="01EDF0E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5 fő</w:t>
            </w:r>
          </w:p>
        </w:tc>
        <w:tc>
          <w:tcPr>
            <w:tcW w:w="2880" w:type="dxa"/>
          </w:tcPr>
          <w:p w14:paraId="203EC8E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5 fő</w:t>
            </w:r>
          </w:p>
        </w:tc>
      </w:tr>
      <w:tr w:rsidR="009C0A31" w:rsidRPr="00B616D6" w14:paraId="1FDFA61A" w14:textId="77777777" w:rsidTr="00905C7E">
        <w:tc>
          <w:tcPr>
            <w:tcW w:w="5102" w:type="dxa"/>
          </w:tcPr>
          <w:p w14:paraId="04656E5E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Rendszeres gyermekvédelmi kedvezményben részesülő</w:t>
            </w:r>
          </w:p>
        </w:tc>
        <w:tc>
          <w:tcPr>
            <w:tcW w:w="2880" w:type="dxa"/>
          </w:tcPr>
          <w:p w14:paraId="4247CFA9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4 fő</w:t>
            </w:r>
          </w:p>
        </w:tc>
        <w:tc>
          <w:tcPr>
            <w:tcW w:w="2880" w:type="dxa"/>
          </w:tcPr>
          <w:p w14:paraId="57F6531F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4 fő</w:t>
            </w:r>
          </w:p>
        </w:tc>
      </w:tr>
      <w:tr w:rsidR="009C0A31" w:rsidRPr="00B616D6" w14:paraId="61FF5FEC" w14:textId="77777777" w:rsidTr="00905C7E">
        <w:tc>
          <w:tcPr>
            <w:tcW w:w="5102" w:type="dxa"/>
          </w:tcPr>
          <w:p w14:paraId="61F4051E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Szülői nyilatkozatok alapján térítésmentesen étkezők</w:t>
            </w:r>
          </w:p>
        </w:tc>
        <w:tc>
          <w:tcPr>
            <w:tcW w:w="2880" w:type="dxa"/>
          </w:tcPr>
          <w:p w14:paraId="69752949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33</w:t>
            </w:r>
          </w:p>
        </w:tc>
        <w:tc>
          <w:tcPr>
            <w:tcW w:w="2880" w:type="dxa"/>
          </w:tcPr>
          <w:p w14:paraId="4EBDCA1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34</w:t>
            </w:r>
          </w:p>
        </w:tc>
      </w:tr>
      <w:tr w:rsidR="009C0A31" w:rsidRPr="00B616D6" w14:paraId="098FF661" w14:textId="77777777" w:rsidTr="00905C7E">
        <w:tc>
          <w:tcPr>
            <w:tcW w:w="5102" w:type="dxa"/>
          </w:tcPr>
          <w:p w14:paraId="1D0FD314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3 vagy több gyermeket nevelő családok</w:t>
            </w:r>
          </w:p>
          <w:p w14:paraId="032160CA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880" w:type="dxa"/>
          </w:tcPr>
          <w:p w14:paraId="328AD38A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</w:t>
            </w:r>
          </w:p>
        </w:tc>
        <w:tc>
          <w:tcPr>
            <w:tcW w:w="2880" w:type="dxa"/>
          </w:tcPr>
          <w:p w14:paraId="12E22AC8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11</w:t>
            </w:r>
          </w:p>
        </w:tc>
      </w:tr>
      <w:tr w:rsidR="009C0A31" w:rsidRPr="00B616D6" w14:paraId="3604D0EB" w14:textId="77777777" w:rsidTr="00905C7E">
        <w:tc>
          <w:tcPr>
            <w:tcW w:w="5102" w:type="dxa"/>
          </w:tcPr>
          <w:p w14:paraId="72EB91C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Beilleszkedési és magatartászavarral küzdő gyermek</w:t>
            </w:r>
          </w:p>
        </w:tc>
        <w:tc>
          <w:tcPr>
            <w:tcW w:w="2880" w:type="dxa"/>
          </w:tcPr>
          <w:p w14:paraId="52451F8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</w:t>
            </w:r>
          </w:p>
        </w:tc>
        <w:tc>
          <w:tcPr>
            <w:tcW w:w="2880" w:type="dxa"/>
          </w:tcPr>
          <w:p w14:paraId="40D7E8A5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</w:t>
            </w:r>
          </w:p>
        </w:tc>
      </w:tr>
      <w:tr w:rsidR="009C0A31" w:rsidRPr="00B616D6" w14:paraId="0A9F387A" w14:textId="77777777" w:rsidTr="00905C7E">
        <w:tc>
          <w:tcPr>
            <w:tcW w:w="5102" w:type="dxa"/>
          </w:tcPr>
          <w:p w14:paraId="71CF8C14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Veszélyeztetett gyermek</w:t>
            </w:r>
          </w:p>
        </w:tc>
        <w:tc>
          <w:tcPr>
            <w:tcW w:w="2880" w:type="dxa"/>
          </w:tcPr>
          <w:p w14:paraId="423DCAC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</w:t>
            </w:r>
          </w:p>
        </w:tc>
        <w:tc>
          <w:tcPr>
            <w:tcW w:w="2880" w:type="dxa"/>
          </w:tcPr>
          <w:p w14:paraId="5798591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</w:t>
            </w:r>
          </w:p>
        </w:tc>
      </w:tr>
      <w:tr w:rsidR="009C0A31" w:rsidRPr="00B616D6" w14:paraId="54739485" w14:textId="77777777" w:rsidTr="00905C7E">
        <w:tc>
          <w:tcPr>
            <w:tcW w:w="5102" w:type="dxa"/>
          </w:tcPr>
          <w:p w14:paraId="194667B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Speciális étrendet igénylő gyermek</w:t>
            </w:r>
          </w:p>
        </w:tc>
        <w:tc>
          <w:tcPr>
            <w:tcW w:w="2880" w:type="dxa"/>
          </w:tcPr>
          <w:p w14:paraId="3D06286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</w:t>
            </w:r>
          </w:p>
        </w:tc>
        <w:tc>
          <w:tcPr>
            <w:tcW w:w="2880" w:type="dxa"/>
          </w:tcPr>
          <w:p w14:paraId="3047FAF7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</w:t>
            </w:r>
          </w:p>
        </w:tc>
      </w:tr>
      <w:tr w:rsidR="009C0A31" w:rsidRPr="00B616D6" w14:paraId="30DAAEB0" w14:textId="77777777" w:rsidTr="00905C7E">
        <w:tc>
          <w:tcPr>
            <w:tcW w:w="5102" w:type="dxa"/>
          </w:tcPr>
          <w:p w14:paraId="71159465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SNI gyermek</w:t>
            </w:r>
          </w:p>
        </w:tc>
        <w:tc>
          <w:tcPr>
            <w:tcW w:w="2880" w:type="dxa"/>
          </w:tcPr>
          <w:p w14:paraId="63EADDFA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</w:t>
            </w:r>
          </w:p>
        </w:tc>
        <w:tc>
          <w:tcPr>
            <w:tcW w:w="2880" w:type="dxa"/>
          </w:tcPr>
          <w:p w14:paraId="4452A041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</w:t>
            </w:r>
          </w:p>
        </w:tc>
      </w:tr>
    </w:tbl>
    <w:p w14:paraId="506C5DF1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685CD5B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hátrányok leküzdése és a felzárkóztatás minden pedagógus számára kiemelt feladat. A gyermekek fejlődésének nyomon követése jogszabályban előírt feladat; a lemaradó gyermekek számára szükség esetén külső szakember segítségét kérjük a csoportban végzett fejlesztő tevékenységen túl.</w:t>
      </w:r>
    </w:p>
    <w:p w14:paraId="4C80C92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tehetségígéretes gyermekek csoporton belüli azonosítása fontos feladat: az érdeklődésüknek megfelelő tartalmakat biztosítunk, szereplési lehetőséget adunk az óvodán belül, és a szülőknek javaslatokat teszünk a tehetségígéretek kibontakoztatására (sport, művészeti tevékenység, tánc, népzene). A nevelési év kiemelt tehetséggondozási programjai: a „Tehetségek születése” népdaléneklési alkalom és a zenei tehetséggondozás.</w:t>
      </w:r>
    </w:p>
    <w:p w14:paraId="61C95A43" w14:textId="77777777" w:rsidR="00DD07AA" w:rsidRPr="00B616D6" w:rsidRDefault="00DD07AA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</w:p>
    <w:p w14:paraId="18058C56" w14:textId="77777777" w:rsidR="00DD07AA" w:rsidRPr="00B616D6" w:rsidRDefault="00DD07AA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</w:p>
    <w:p w14:paraId="44AC6757" w14:textId="0498ADEF" w:rsidR="009C0A31" w:rsidRPr="00B616D6" w:rsidRDefault="009C0A31" w:rsidP="00DD07AA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Az intézmény a 2025-2026. nevelési évben – adatok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308"/>
        <w:gridCol w:w="2394"/>
        <w:gridCol w:w="2360"/>
      </w:tblGrid>
      <w:tr w:rsidR="009C0A31" w:rsidRPr="00B616D6" w14:paraId="4F5E54B1" w14:textId="77777777" w:rsidTr="00905C7E">
        <w:tc>
          <w:tcPr>
            <w:tcW w:w="5102" w:type="dxa"/>
            <w:shd w:val="clear" w:color="auto" w:fill="DCE8DA"/>
          </w:tcPr>
          <w:p w14:paraId="25056081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Beiskolázási és fejlesztési adatok</w:t>
            </w:r>
          </w:p>
        </w:tc>
        <w:tc>
          <w:tcPr>
            <w:tcW w:w="2880" w:type="dxa"/>
            <w:shd w:val="clear" w:color="auto" w:fill="DCE8DA"/>
          </w:tcPr>
          <w:p w14:paraId="5A53FDE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Létszám</w:t>
            </w:r>
          </w:p>
        </w:tc>
        <w:tc>
          <w:tcPr>
            <w:tcW w:w="2880" w:type="dxa"/>
            <w:shd w:val="clear" w:color="auto" w:fill="DCE8DA"/>
          </w:tcPr>
          <w:p w14:paraId="6340FE08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Arány</w:t>
            </w:r>
          </w:p>
        </w:tc>
      </w:tr>
      <w:tr w:rsidR="009C0A31" w:rsidRPr="00B616D6" w14:paraId="2B59752C" w14:textId="77777777" w:rsidTr="00905C7E">
        <w:tc>
          <w:tcPr>
            <w:tcW w:w="5102" w:type="dxa"/>
          </w:tcPr>
          <w:p w14:paraId="70E3F7B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Tanköteles korú gyermekek száma</w:t>
            </w:r>
          </w:p>
        </w:tc>
        <w:tc>
          <w:tcPr>
            <w:tcW w:w="2880" w:type="dxa"/>
          </w:tcPr>
          <w:p w14:paraId="74A248FE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12</w:t>
            </w:r>
          </w:p>
        </w:tc>
        <w:tc>
          <w:tcPr>
            <w:tcW w:w="2880" w:type="dxa"/>
          </w:tcPr>
          <w:p w14:paraId="10D736AE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32,43%</w:t>
            </w:r>
          </w:p>
        </w:tc>
      </w:tr>
      <w:tr w:rsidR="009C0A31" w:rsidRPr="00B616D6" w14:paraId="1C0B6791" w14:textId="77777777" w:rsidTr="00905C7E">
        <w:tc>
          <w:tcPr>
            <w:tcW w:w="5102" w:type="dxa"/>
          </w:tcPr>
          <w:p w14:paraId="21F0E929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Közülük az iskolai tanulmányaikat elkezdők száma</w:t>
            </w:r>
          </w:p>
        </w:tc>
        <w:tc>
          <w:tcPr>
            <w:tcW w:w="2880" w:type="dxa"/>
          </w:tcPr>
          <w:p w14:paraId="322D8B0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3</w:t>
            </w:r>
          </w:p>
        </w:tc>
        <w:tc>
          <w:tcPr>
            <w:tcW w:w="2880" w:type="dxa"/>
          </w:tcPr>
          <w:p w14:paraId="183A9FA6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8,57%</w:t>
            </w:r>
          </w:p>
        </w:tc>
      </w:tr>
      <w:tr w:rsidR="009C0A31" w:rsidRPr="00B616D6" w14:paraId="5F3FF281" w14:textId="77777777" w:rsidTr="00905C7E">
        <w:tc>
          <w:tcPr>
            <w:tcW w:w="5102" w:type="dxa"/>
          </w:tcPr>
          <w:p w14:paraId="7C90EB5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Várhatóan óvodában maradó tanköteles gyermekek száma</w:t>
            </w:r>
          </w:p>
        </w:tc>
        <w:tc>
          <w:tcPr>
            <w:tcW w:w="2880" w:type="dxa"/>
          </w:tcPr>
          <w:p w14:paraId="5EA1FF69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</w:t>
            </w:r>
          </w:p>
        </w:tc>
        <w:tc>
          <w:tcPr>
            <w:tcW w:w="2880" w:type="dxa"/>
          </w:tcPr>
          <w:p w14:paraId="07D05B01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24,32%</w:t>
            </w:r>
          </w:p>
        </w:tc>
      </w:tr>
      <w:tr w:rsidR="009C0A31" w:rsidRPr="00B616D6" w14:paraId="1F9C6DD4" w14:textId="77777777" w:rsidTr="00905C7E">
        <w:tc>
          <w:tcPr>
            <w:tcW w:w="5102" w:type="dxa"/>
          </w:tcPr>
          <w:p w14:paraId="33472118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Logopédiai fejlesztés</w:t>
            </w:r>
          </w:p>
        </w:tc>
        <w:tc>
          <w:tcPr>
            <w:tcW w:w="2880" w:type="dxa"/>
          </w:tcPr>
          <w:p w14:paraId="4ACD7494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9</w:t>
            </w:r>
          </w:p>
        </w:tc>
        <w:tc>
          <w:tcPr>
            <w:tcW w:w="2880" w:type="dxa"/>
          </w:tcPr>
          <w:p w14:paraId="46FE29F5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24,32%</w:t>
            </w:r>
          </w:p>
        </w:tc>
      </w:tr>
      <w:tr w:rsidR="009C0A31" w:rsidRPr="00B616D6" w14:paraId="04406790" w14:textId="77777777" w:rsidTr="00905C7E">
        <w:tc>
          <w:tcPr>
            <w:tcW w:w="5102" w:type="dxa"/>
          </w:tcPr>
          <w:p w14:paraId="4F2E1EFA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Gyógytestnevelés</w:t>
            </w:r>
          </w:p>
        </w:tc>
        <w:tc>
          <w:tcPr>
            <w:tcW w:w="2880" w:type="dxa"/>
          </w:tcPr>
          <w:p w14:paraId="3767492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15</w:t>
            </w:r>
          </w:p>
        </w:tc>
        <w:tc>
          <w:tcPr>
            <w:tcW w:w="2880" w:type="dxa"/>
          </w:tcPr>
          <w:p w14:paraId="106EC320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40,54%</w:t>
            </w:r>
          </w:p>
        </w:tc>
      </w:tr>
      <w:tr w:rsidR="009C0A31" w:rsidRPr="00B616D6" w14:paraId="442314E7" w14:textId="77777777" w:rsidTr="00905C7E">
        <w:tc>
          <w:tcPr>
            <w:tcW w:w="5102" w:type="dxa"/>
          </w:tcPr>
          <w:p w14:paraId="35D1B6F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Fejlesztőpedagógia</w:t>
            </w:r>
          </w:p>
        </w:tc>
        <w:tc>
          <w:tcPr>
            <w:tcW w:w="2880" w:type="dxa"/>
          </w:tcPr>
          <w:p w14:paraId="4965B9D0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</w:t>
            </w:r>
          </w:p>
        </w:tc>
        <w:tc>
          <w:tcPr>
            <w:tcW w:w="2880" w:type="dxa"/>
          </w:tcPr>
          <w:p w14:paraId="5E96395A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0</w:t>
            </w:r>
          </w:p>
        </w:tc>
      </w:tr>
      <w:tr w:rsidR="009C0A31" w:rsidRPr="00B616D6" w14:paraId="24BE01AC" w14:textId="77777777" w:rsidTr="00905C7E">
        <w:tc>
          <w:tcPr>
            <w:tcW w:w="5102" w:type="dxa"/>
          </w:tcPr>
          <w:p w14:paraId="10E5A847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Gyógypedagógiai fejlesztés</w:t>
            </w:r>
          </w:p>
        </w:tc>
        <w:tc>
          <w:tcPr>
            <w:tcW w:w="2880" w:type="dxa"/>
          </w:tcPr>
          <w:p w14:paraId="557574C6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</w:t>
            </w:r>
          </w:p>
        </w:tc>
        <w:tc>
          <w:tcPr>
            <w:tcW w:w="2880" w:type="dxa"/>
          </w:tcPr>
          <w:p w14:paraId="160DA6A0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2,70%</w:t>
            </w:r>
          </w:p>
        </w:tc>
      </w:tr>
      <w:tr w:rsidR="009C0A31" w:rsidRPr="00B616D6" w14:paraId="58CDD250" w14:textId="77777777" w:rsidTr="00905C7E">
        <w:tc>
          <w:tcPr>
            <w:tcW w:w="5102" w:type="dxa"/>
          </w:tcPr>
          <w:p w14:paraId="2852EA25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Pszichológus által ellátott</w:t>
            </w:r>
          </w:p>
        </w:tc>
        <w:tc>
          <w:tcPr>
            <w:tcW w:w="2880" w:type="dxa"/>
          </w:tcPr>
          <w:p w14:paraId="0FED4BEF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</w:t>
            </w:r>
          </w:p>
        </w:tc>
        <w:tc>
          <w:tcPr>
            <w:tcW w:w="2880" w:type="dxa"/>
          </w:tcPr>
          <w:p w14:paraId="1D86D609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2,70</w:t>
            </w:r>
          </w:p>
        </w:tc>
      </w:tr>
    </w:tbl>
    <w:p w14:paraId="35200DF6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9C465B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Élményszerző kirándulások, külső programok a nevelési évben: szüreti felvonulás </w:t>
      </w:r>
    </w:p>
    <w:p w14:paraId="6E7F0507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(Szekszárd), gyermekkönyvtári foglalkozások Szekszárd és Harc, tanulmányi kirándulás Baján, Cseri tanyán séták a településen több alkalommal.</w:t>
      </w:r>
    </w:p>
    <w:p w14:paraId="19F0DECC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Szülői igényekre alapozott szolgáltatások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903"/>
        <w:gridCol w:w="4159"/>
      </w:tblGrid>
      <w:tr w:rsidR="009C0A31" w:rsidRPr="00B616D6" w14:paraId="59FE950F" w14:textId="77777777" w:rsidTr="00905C7E">
        <w:tc>
          <w:tcPr>
            <w:tcW w:w="5102" w:type="dxa"/>
            <w:shd w:val="clear" w:color="auto" w:fill="DCE8DA"/>
          </w:tcPr>
          <w:p w14:paraId="489FF853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Szolgáltatás</w:t>
            </w:r>
          </w:p>
        </w:tc>
        <w:tc>
          <w:tcPr>
            <w:tcW w:w="4320" w:type="dxa"/>
            <w:shd w:val="clear" w:color="auto" w:fill="DCE8DA"/>
          </w:tcPr>
          <w:p w14:paraId="3C06552E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Résztvevők</w:t>
            </w:r>
          </w:p>
        </w:tc>
      </w:tr>
      <w:tr w:rsidR="009C0A31" w:rsidRPr="00B616D6" w14:paraId="5447A4F7" w14:textId="77777777" w:rsidTr="00905C7E">
        <w:tc>
          <w:tcPr>
            <w:tcW w:w="5102" w:type="dxa"/>
          </w:tcPr>
          <w:p w14:paraId="16A94801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Néptánc – zeneovi</w:t>
            </w:r>
          </w:p>
        </w:tc>
        <w:tc>
          <w:tcPr>
            <w:tcW w:w="4320" w:type="dxa"/>
          </w:tcPr>
          <w:p w14:paraId="773C02E3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25</w:t>
            </w:r>
          </w:p>
        </w:tc>
      </w:tr>
      <w:tr w:rsidR="009C0A31" w:rsidRPr="00B616D6" w14:paraId="483B1764" w14:textId="77777777" w:rsidTr="00905C7E">
        <w:tc>
          <w:tcPr>
            <w:tcW w:w="5102" w:type="dxa"/>
          </w:tcPr>
          <w:p w14:paraId="5B908426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Hittan</w:t>
            </w:r>
          </w:p>
        </w:tc>
        <w:tc>
          <w:tcPr>
            <w:tcW w:w="4320" w:type="dxa"/>
          </w:tcPr>
          <w:p w14:paraId="522A9FA3" w14:textId="0B656F87" w:rsidR="009C0A31" w:rsidRPr="00B616D6" w:rsidRDefault="00183F0F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19</w:t>
            </w:r>
          </w:p>
        </w:tc>
      </w:tr>
    </w:tbl>
    <w:p w14:paraId="1DFD35BD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4. Belső kapcsolatok, együttműködés, kommunikáció</w:t>
      </w:r>
    </w:p>
    <w:p w14:paraId="1603686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Forrás: PP, SZMSZ, Munkaterv</w:t>
      </w:r>
    </w:p>
    <w:p w14:paraId="1BC921F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Az intézmény belső kapcsolatrendszerének középpontjában a támogató szervezeti struktúra áll, amely a pedagógusok szakmai együttműködésén, csoportszinten és óvoda–bölcsőde szinten alapszik. A nevelő-oktató munka egyik alapfeltétele, hogy tervszerűen működő, folyamatos megújulásra képes, innovatív közösség alakuljon ki. A szervezeten belüli információáramlás hatékonyan kialakított rendje szintén alapja a magas szintű szakmai munkának.</w:t>
      </w:r>
    </w:p>
    <w:p w14:paraId="2743DBF8" w14:textId="77777777" w:rsidR="00DD07AA" w:rsidRPr="00B616D6" w:rsidRDefault="00DD07AA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35EFA41B" w14:textId="77777777" w:rsidR="00DD07AA" w:rsidRPr="00B616D6" w:rsidRDefault="00DD07AA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0E28E5D0" w14:textId="715A72B6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Szempont: 4.1. Milyen pedagógus szakmai közösségek működnek az intézményben, melyek a fő tevékenységeik?</w:t>
      </w:r>
    </w:p>
    <w:p w14:paraId="52051150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 pedagógusok szakmai csoportjai maguk alakítják ki működési körüket, önálló munkaterv szerint dolgoznak. A munkatervüket az intézményi célok figyelembevételével határozzák meg.</w:t>
      </w:r>
    </w:p>
    <w:p w14:paraId="2775FF1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Harci Kincsesláda Óvoda és Mini Bölcsőde nevelőtestülete alacsony létszámú, ezért önálló szakmai munkaközösséget nem tudunk alakítani. Az intézményi munkatervben szereplő, az intézményműködést elősegítő feladatmegosztást átgondoltan, a feladatok szervezett delegálásával valósítjuk meg, hogy az egyenlő munkaterhelés biztosítva legyen.</w:t>
      </w:r>
    </w:p>
    <w:p w14:paraId="436C778B" w14:textId="148B1B15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Támogatom kollégáim továbbképzését, nyitott vagyok egyéni elképzeléseikre, hogy lehetőséget kapjanak önmaguk megvalósítására és képességeik kibontakoztatására. A jó munkatársi közösség kialakítását szorgalmazom; ha jól működik a belső kapcsolatrendszer, valamennyi megtervezett programunkat sikeresen és színvonalasan tudjuk megrendezni.</w:t>
      </w:r>
    </w:p>
    <w:p w14:paraId="3332E5B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4.2. Hogyan történik az információátadás az intézményben?</w:t>
      </w:r>
    </w:p>
    <w:p w14:paraId="42A4601F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Az intézmény munkatársai számára biztosított a munkájukhoz szükséges információkhoz és ismeretekhez való hozzáférés.</w:t>
      </w:r>
    </w:p>
    <w:p w14:paraId="370864A5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szakmai feladatok ellátásához szükséges információátadás színterei az alábbiak szerint működtek:</w:t>
      </w:r>
    </w:p>
    <w:tbl>
      <w:tblPr>
        <w:tblStyle w:val="Rcsostblzat1"/>
        <w:tblW w:w="9067" w:type="dxa"/>
        <w:tblLook w:val="04A0" w:firstRow="1" w:lastRow="0" w:firstColumn="1" w:lastColumn="0" w:noHBand="0" w:noVBand="1"/>
      </w:tblPr>
      <w:tblGrid>
        <w:gridCol w:w="3685"/>
        <w:gridCol w:w="5382"/>
      </w:tblGrid>
      <w:tr w:rsidR="009C0A31" w:rsidRPr="00B616D6" w14:paraId="0220961E" w14:textId="77777777" w:rsidTr="00DD07AA">
        <w:tc>
          <w:tcPr>
            <w:tcW w:w="3685" w:type="dxa"/>
            <w:shd w:val="clear" w:color="auto" w:fill="DCE8DA"/>
          </w:tcPr>
          <w:p w14:paraId="5809F08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Az információátadás színterei</w:t>
            </w:r>
          </w:p>
        </w:tc>
        <w:tc>
          <w:tcPr>
            <w:tcW w:w="5382" w:type="dxa"/>
            <w:shd w:val="clear" w:color="auto" w:fill="DCE8DA"/>
          </w:tcPr>
          <w:p w14:paraId="105E0633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Szöveges értékelés</w:t>
            </w:r>
          </w:p>
        </w:tc>
      </w:tr>
      <w:tr w:rsidR="009C0A31" w:rsidRPr="00B616D6" w14:paraId="0D6B1439" w14:textId="77777777" w:rsidTr="00DD07AA">
        <w:tc>
          <w:tcPr>
            <w:tcW w:w="3685" w:type="dxa"/>
          </w:tcPr>
          <w:p w14:paraId="372BAA3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Nevelőtestületi értekezletek</w:t>
            </w:r>
          </w:p>
        </w:tc>
        <w:tc>
          <w:tcPr>
            <w:tcW w:w="5382" w:type="dxa"/>
          </w:tcPr>
          <w:p w14:paraId="212E6F28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Az aktualitásoknak megfelelően: évindító (2025. szeptember.), félévértékelő (2026. február), évzáró (2026. június).</w:t>
            </w:r>
          </w:p>
        </w:tc>
      </w:tr>
      <w:tr w:rsidR="009C0A31" w:rsidRPr="00B616D6" w14:paraId="0B577DCE" w14:textId="77777777" w:rsidTr="00DD07AA">
        <w:tc>
          <w:tcPr>
            <w:tcW w:w="3685" w:type="dxa"/>
          </w:tcPr>
          <w:p w14:paraId="5FF37525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Alkalomszerű, szükség szerinti munkaértekezletek</w:t>
            </w:r>
          </w:p>
        </w:tc>
        <w:tc>
          <w:tcPr>
            <w:tcW w:w="5382" w:type="dxa"/>
          </w:tcPr>
          <w:p w14:paraId="19E1ED40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felmerülő esetek megbeszélése, a konfliktusok azonnali kezelése.</w:t>
            </w:r>
          </w:p>
        </w:tc>
      </w:tr>
      <w:tr w:rsidR="009C0A31" w:rsidRPr="00B616D6" w14:paraId="3AD684CC" w14:textId="77777777" w:rsidTr="00DD07AA">
        <w:tc>
          <w:tcPr>
            <w:tcW w:w="3685" w:type="dxa"/>
          </w:tcPr>
          <w:p w14:paraId="3681FB3D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Dajkaértekezletek</w:t>
            </w:r>
          </w:p>
        </w:tc>
        <w:tc>
          <w:tcPr>
            <w:tcW w:w="5382" w:type="dxa"/>
          </w:tcPr>
          <w:p w14:paraId="33901DDD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Öt alkalommal a nevelési év során (augusztus, szeptember, november, február, március) a dajkai gondozómunka, a takarítás és az ünnepi feladatok összehangolására.</w:t>
            </w:r>
          </w:p>
        </w:tc>
      </w:tr>
      <w:tr w:rsidR="009C0A31" w:rsidRPr="00B616D6" w14:paraId="203A1B2A" w14:textId="77777777" w:rsidTr="00DD07AA">
        <w:tc>
          <w:tcPr>
            <w:tcW w:w="3685" w:type="dxa"/>
          </w:tcPr>
          <w:p w14:paraId="52B153F6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Hospitálás, szakmai tapasztalatcsere</w:t>
            </w:r>
          </w:p>
        </w:tc>
        <w:tc>
          <w:tcPr>
            <w:tcW w:w="5382" w:type="dxa"/>
          </w:tcPr>
          <w:p w14:paraId="77EED3A3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csoportlátogatások és hospitálások segítik egymás munkájának megismerését.</w:t>
            </w:r>
          </w:p>
        </w:tc>
      </w:tr>
      <w:tr w:rsidR="009C0A31" w:rsidRPr="00B616D6" w14:paraId="468ED5D4" w14:textId="77777777" w:rsidTr="00DD07AA">
        <w:tc>
          <w:tcPr>
            <w:tcW w:w="3685" w:type="dxa"/>
          </w:tcPr>
          <w:p w14:paraId="7030D2FA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Elektronikus kapcsolattartás (eKréta, e-mail)</w:t>
            </w:r>
          </w:p>
        </w:tc>
        <w:tc>
          <w:tcPr>
            <w:tcW w:w="5382" w:type="dxa"/>
          </w:tcPr>
          <w:p w14:paraId="1C1AADE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szakmai munka megosztása, illetve az információcsere folyamatos volt.</w:t>
            </w:r>
          </w:p>
        </w:tc>
      </w:tr>
      <w:tr w:rsidR="009C0A31" w:rsidRPr="00B616D6" w14:paraId="6F5EC793" w14:textId="77777777" w:rsidTr="00DD07AA">
        <w:tc>
          <w:tcPr>
            <w:tcW w:w="3685" w:type="dxa"/>
          </w:tcPr>
          <w:p w14:paraId="70AE0E77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Faliújság, fali naptár</w:t>
            </w:r>
          </w:p>
        </w:tc>
        <w:tc>
          <w:tcPr>
            <w:tcW w:w="5382" w:type="dxa"/>
          </w:tcPr>
          <w:p w14:paraId="606DCD03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Az információáramlást segíti a pedagógusok és a szülők számára.</w:t>
            </w:r>
          </w:p>
        </w:tc>
      </w:tr>
    </w:tbl>
    <w:p w14:paraId="221B4A4A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5. Az intézmény külső kapcsolatai</w:t>
      </w:r>
    </w:p>
    <w:p w14:paraId="0BFDC457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Forrás: PP, SZMSZ, Munkaterv</w:t>
      </w:r>
    </w:p>
    <w:p w14:paraId="4001BA48" w14:textId="56F12F19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lastRenderedPageBreak/>
        <w:t>Az intézmény fontosnak tartja a külső partnerekre vonatkozó kapcsolati rendszerét, ezért azt megtervezi, kialakítja és működteti. A partnerekkel kialakított kapcsolatrendszeren keresztül felméri a partnerek igényeit, elégedettségét, és befogadja innovatív ötleteiket. Az intézmény kihasználja azokat a lehetőségeket, ahol a környezete számára bemutathatja eredményeit, és feladatvállalásaival megjelenik a szűkebb/tágabb közösség életében is.</w:t>
      </w:r>
    </w:p>
    <w:p w14:paraId="1D543FE3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5.1. Hogyan kapnak tájékoztatást a partnerek az intézmény eredményeiről?</w:t>
      </w:r>
    </w:p>
    <w:p w14:paraId="4423B83D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Az intézmény a helyben szokásos módon tájékoztatja külső partnereit (az információátadás szóbeli, digitális vagy papíralapú).</w:t>
      </w:r>
    </w:p>
    <w:p w14:paraId="295FCEA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szülők tájékoztatása szülői értekezleteken (évente három alkalommal: szeptember, február, május), napi kapcsolattartás során, valamint elektronikus felületen és hirdetményeken keresztül történt, folyamatos dokumentálással. A partnerek tájékoztatását és véleményezési lehetőségeinek biztosítását folyamatosan felülvizsgáljuk.</w:t>
      </w:r>
    </w:p>
    <w:p w14:paraId="5B87DC5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külső kapcsolatrendszer a munkatervben részletesen szabályozott: az iskola (óvoda–iskola átmenet, iskolalátogatás), a fenntartó (pontos adatszolgáltatás, beszámolók), az egészségügy (szűrések, védőnő), a szakszolgálatok (vizsgálati kérelmek, team-munka), a gyermekjóléti szolgálat (jelzőrendszer, esetjelzések), valamint a közművelődési intézmények (Faluház, művelődési ház, könyvtár). Az intézmény a község életében aktív szerepet vállalt.</w:t>
      </w:r>
    </w:p>
    <w:tbl>
      <w:tblPr>
        <w:tblStyle w:val="Rcsostblzat1"/>
        <w:tblW w:w="8959" w:type="dxa"/>
        <w:tblInd w:w="108" w:type="dxa"/>
        <w:tblLook w:val="04A0" w:firstRow="1" w:lastRow="0" w:firstColumn="1" w:lastColumn="0" w:noHBand="0" w:noVBand="1"/>
      </w:tblPr>
      <w:tblGrid>
        <w:gridCol w:w="3577"/>
        <w:gridCol w:w="5382"/>
      </w:tblGrid>
      <w:tr w:rsidR="009C0A31" w:rsidRPr="00B616D6" w14:paraId="2D19928A" w14:textId="77777777" w:rsidTr="00DD07AA">
        <w:tc>
          <w:tcPr>
            <w:tcW w:w="3577" w:type="dxa"/>
            <w:shd w:val="clear" w:color="auto" w:fill="DCE8DA"/>
          </w:tcPr>
          <w:p w14:paraId="061D0998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Az információátadás színterei</w:t>
            </w:r>
          </w:p>
        </w:tc>
        <w:tc>
          <w:tcPr>
            <w:tcW w:w="5382" w:type="dxa"/>
            <w:shd w:val="clear" w:color="auto" w:fill="DCE8DA"/>
          </w:tcPr>
          <w:p w14:paraId="2305B5BB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Szöveges értékelés</w:t>
            </w:r>
          </w:p>
        </w:tc>
      </w:tr>
      <w:tr w:rsidR="009C0A31" w:rsidRPr="00B616D6" w14:paraId="15D688F2" w14:textId="77777777" w:rsidTr="00DD07AA">
        <w:tc>
          <w:tcPr>
            <w:tcW w:w="3577" w:type="dxa"/>
          </w:tcPr>
          <w:p w14:paraId="4917762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Szóbeli – egyéni beszélgetések</w:t>
            </w:r>
          </w:p>
        </w:tc>
        <w:tc>
          <w:tcPr>
            <w:tcW w:w="5382" w:type="dxa"/>
          </w:tcPr>
          <w:p w14:paraId="241D5F1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szülői igényeknek megfelelően, közösen előre egyeztetett időpontban történnek a gyermekek fejlődéséről.</w:t>
            </w:r>
          </w:p>
        </w:tc>
      </w:tr>
      <w:tr w:rsidR="009C0A31" w:rsidRPr="00B616D6" w14:paraId="5B6BFE3C" w14:textId="77777777" w:rsidTr="00DD07AA">
        <w:tc>
          <w:tcPr>
            <w:tcW w:w="3577" w:type="dxa"/>
          </w:tcPr>
          <w:p w14:paraId="6250623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Szóbeli – értekezletek, megbeszélések</w:t>
            </w:r>
          </w:p>
        </w:tc>
        <w:tc>
          <w:tcPr>
            <w:tcW w:w="5382" w:type="dxa"/>
          </w:tcPr>
          <w:p w14:paraId="40D58C16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szülői értekezletek látogatottsága a nevelési év során megfelelő volt; a szülők aktívan vesznek részt.</w:t>
            </w:r>
          </w:p>
        </w:tc>
      </w:tr>
      <w:tr w:rsidR="009C0A31" w:rsidRPr="00B616D6" w14:paraId="60F7A307" w14:textId="77777777" w:rsidTr="00DD07AA">
        <w:tc>
          <w:tcPr>
            <w:tcW w:w="3577" w:type="dxa"/>
          </w:tcPr>
          <w:p w14:paraId="5905204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Írásbeli – hirdetőtábla</w:t>
            </w:r>
          </w:p>
        </w:tc>
        <w:tc>
          <w:tcPr>
            <w:tcW w:w="5382" w:type="dxa"/>
          </w:tcPr>
          <w:p w14:paraId="34B3635C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szülők egy része kevésbé követi a hirdetőtáblán kihelyezett információkat.</w:t>
            </w:r>
          </w:p>
        </w:tc>
      </w:tr>
      <w:tr w:rsidR="009C0A31" w:rsidRPr="00B616D6" w14:paraId="76A13EA1" w14:textId="77777777" w:rsidTr="00DD07AA">
        <w:tc>
          <w:tcPr>
            <w:tcW w:w="3577" w:type="dxa"/>
          </w:tcPr>
          <w:p w14:paraId="17361EE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Írásbeli – meghívó</w:t>
            </w:r>
          </w:p>
        </w:tc>
        <w:tc>
          <w:tcPr>
            <w:tcW w:w="5382" w:type="dxa"/>
          </w:tcPr>
          <w:p w14:paraId="124B87B1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Az intézmény eseményeire szóló meghívókat elektronikusan juttatjuk el a szülőknek.</w:t>
            </w:r>
          </w:p>
        </w:tc>
      </w:tr>
      <w:tr w:rsidR="009C0A31" w:rsidRPr="00B616D6" w14:paraId="1AA25ADD" w14:textId="77777777" w:rsidTr="00DD07AA">
        <w:tc>
          <w:tcPr>
            <w:tcW w:w="3577" w:type="dxa"/>
          </w:tcPr>
          <w:p w14:paraId="22ECA292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b/>
                <w:sz w:val="24"/>
                <w:szCs w:val="24"/>
                <w:lang w:val="hu-HU"/>
              </w:rPr>
              <w:t>Írásbeli – levél, hirdetmény</w:t>
            </w:r>
          </w:p>
        </w:tc>
        <w:tc>
          <w:tcPr>
            <w:tcW w:w="5382" w:type="dxa"/>
          </w:tcPr>
          <w:p w14:paraId="6B258D15" w14:textId="77777777" w:rsidR="009C0A31" w:rsidRPr="00B616D6" w:rsidRDefault="009C0A31" w:rsidP="009C0A3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616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legfontosabb tanügyi információkról (pl. nyári zárva tartás) hirdetményben értesítjük a szülőket.</w:t>
            </w:r>
          </w:p>
        </w:tc>
      </w:tr>
    </w:tbl>
    <w:p w14:paraId="61848A0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Fejleszthető terület:</w:t>
      </w:r>
    </w:p>
    <w:p w14:paraId="34B116A6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szülők figyelmének felhívása az elektronikus és kifüggesztett hirdetések, információk követésére; a határidők betartása.</w:t>
      </w:r>
    </w:p>
    <w:p w14:paraId="08BEB6CC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6. A pedagógiai munka feltételei</w:t>
      </w:r>
    </w:p>
    <w:p w14:paraId="1777777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Forrás: PP, SZMSZ, Továbbképzési/beiskolázási terv, Munkaterv</w:t>
      </w:r>
    </w:p>
    <w:p w14:paraId="5D2E00E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Az intézmény működésének minőségét nagymértékben meghatározza a rendelkezésre álló tárgyi és humán infrastruktúra, ezért különösen fontos annak számbavétele, hogy az intézmény a rendelkezésre álló lehetőségeit hogyan használja ki. Az intézmény a nevelési, tanulási-tanítási </w:t>
      </w:r>
      <w:r w:rsidRPr="00B616D6">
        <w:rPr>
          <w:rFonts w:ascii="Times New Roman" w:eastAsia="MS Mincho" w:hAnsi="Times New Roman" w:cs="Times New Roman"/>
          <w:sz w:val="24"/>
          <w:szCs w:val="24"/>
        </w:rPr>
        <w:lastRenderedPageBreak/>
        <w:t>folyamat tárgyi környezetét a pedagógiai céljainak megfelelően alakította ki. Az intézményi szervezetfejlesztés célja az együttműködő, motiváló szakmai környezet kialakítása.</w:t>
      </w:r>
    </w:p>
    <w:p w14:paraId="48E518AC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Tárgyi, infrastrukturális feltételek</w:t>
      </w:r>
    </w:p>
    <w:p w14:paraId="17F0634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6.1. Hogyan felel meg az infrastruktúra az intézmény képzési struktúrájának, pedagógiai értékeinek, céljainak?</w:t>
      </w:r>
    </w:p>
    <w:p w14:paraId="7C1CE6F0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Az intézmény rendszeresen felméri a pedagógiai program megvalósításához szükséges infrastruktúra meglétét, jelzi a hiányokat a fenntartó felé.</w:t>
      </w:r>
    </w:p>
    <w:p w14:paraId="7BD49113" w14:textId="1C158BF9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Intézményünk minden évben felméri, hogy a pedagógiai program megvalósításához a tárgyi feltételek adottak-e. A feltételek bővítését, cseréjét a gyermeklétszámhoz és az elhasználódáshoz igazítjuk, figyelünk az újrahasznosítás lehetőségeire a környezettudatos szemlélet erősítése érdekében. Korszerű épület támogatja a pedagógiai munka színvonalas megvalósítását; takarékos gazdálkodásra törekszünk, és a kornak és a gyermekek érdeklődésének megfelelő eszközöket biztosítunk. Az idei évben a tornaterem </w:t>
      </w:r>
      <w:r w:rsidR="00DD07AA" w:rsidRPr="00B616D6">
        <w:rPr>
          <w:rFonts w:ascii="Times New Roman" w:eastAsia="MS Mincho" w:hAnsi="Times New Roman" w:cs="Times New Roman"/>
          <w:sz w:val="24"/>
          <w:szCs w:val="24"/>
        </w:rPr>
        <w:t>klímával lett</w:t>
      </w: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 felszerelve, és a nyári meleg kihívásait egy udvari vízi játékkal bővítettük.</w:t>
      </w:r>
    </w:p>
    <w:p w14:paraId="24CE8AE7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Személyi feltételek</w:t>
      </w:r>
    </w:p>
    <w:p w14:paraId="22B38348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Szempont: 6.2. Hogyan felel meg a humán erőforrás az intézmény képzési struktúrájának, pedagógiai értékeinek, céljainak?</w:t>
      </w:r>
    </w:p>
    <w:p w14:paraId="5BC01FF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i/>
          <w:color w:val="595959"/>
          <w:sz w:val="24"/>
          <w:szCs w:val="24"/>
        </w:rPr>
        <w:t>Elvárás: Az intézmény rendszeresen felméri a szükségleteket, reális képpel rendelkezik a nevelő-oktató munka humánerőforrás-szükségletéről, és a hiányt idejében jelzi a fenntartó számára.</w:t>
      </w:r>
    </w:p>
    <w:p w14:paraId="749668FE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Az intézmény személyi feltételei adottak: a két óvodai csoportban 3 Óvodapedagógus dolgozik (Horváth Andrea, Koppány Teréz, Kapéter Jordána), 1 pedagógiai asszisztens (Homokiné Dunai Johanna) segíti a fejlesztő munkát, 1 fő kisgyermeknevelő (Staubné Andrási Csilla) látja el a bölcsődei nevelés feladatait, és 3 fő dajka (Wilhelm Erika, Czövekné Kocsándi Diána Krisztina, Müller Ferencné) segíti a csoportok gondozását. Szeptembertől a gyerek látszam növekedése lehetővé teszi a 4. Óvodapedagógus kolléga felvételét. </w:t>
      </w:r>
    </w:p>
    <w:p w14:paraId="4946CF8F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logopédiai fejlesztést utazó logopédus, a gyógytestnevelést utazó gyógytestnevelő látja el; a fejlesztő- és gyógypedagógiai feladatokat szakemberek bevonásával végezzük.</w:t>
      </w:r>
    </w:p>
    <w:p w14:paraId="3C958162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 xml:space="preserve">Továbbképzések:  </w:t>
      </w:r>
    </w:p>
    <w:p w14:paraId="4E915DA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 xml:space="preserve">gyakornok óvodapedagógusunk kötelező továbbképzését végezte el.  Koppány Teréz kollégánkat beiskoláztuk a közoktatás vezető képzésre. </w:t>
      </w:r>
    </w:p>
    <w:p w14:paraId="39C37DDB" w14:textId="77777777" w:rsidR="009C0A31" w:rsidRPr="00B616D6" w:rsidRDefault="009C0A31" w:rsidP="009C0A31">
      <w:pPr>
        <w:keepNext/>
        <w:keepLines/>
        <w:spacing w:before="240" w:after="100"/>
        <w:jc w:val="both"/>
        <w:outlineLvl w:val="1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Programjaink</w:t>
      </w:r>
    </w:p>
    <w:p w14:paraId="1BC00364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nevelési év során az alábbi programok valósultak meg:</w:t>
      </w:r>
    </w:p>
    <w:p w14:paraId="304EDC16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Szüreti mulatság, gyermekszüreti fesztivál (Szekszárd), idősek napja, „Tehetségek születése” – népdaléneklés, állatok világnapja, Tök jó nap, Márton-nap – libakeresés, lámpás felvonulás, Mikulás-ünnep, lucázás a faluban és az időseknek, udvari fenyő díszítése, ajándékkészítés </w:t>
      </w:r>
      <w:r w:rsidRPr="00B616D6">
        <w:rPr>
          <w:rFonts w:ascii="Times New Roman" w:eastAsia="MS Mincho" w:hAnsi="Times New Roman" w:cs="Times New Roman"/>
          <w:sz w:val="24"/>
          <w:szCs w:val="24"/>
        </w:rPr>
        <w:lastRenderedPageBreak/>
        <w:t>karácsonyra, karácsonyi ünnep az óvodában, falukarácsony, idősek karácsonya, madárlakoma – madáretetés, Egészségünk-projekthét, farsangi bál, kiszebábégetés, március 15-i megemlékezés, víz világnapja, húsvéti tojáskeresés, Föld napja – virágok nevelése, kiskert ültetés májusfa, anyák napja, Madarak és fák napja, gyereknap, tanulmányi kirándulás, évzáró, könyvtári programok havonta, kiállítások, néptánc- és hittanfoglalkozások, vonatozás, buszozás</w:t>
      </w:r>
    </w:p>
    <w:p w14:paraId="5C5DF9C7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Összegzés</w:t>
      </w:r>
    </w:p>
    <w:p w14:paraId="1C443391" w14:textId="2E2D3272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Összességében a 2025/2026. nevelési év eredményes, a munkatervben kitűzött célokat megvalósító év volt. A nevelőtestület elkötelezetten dolgozott, a gyermekek és a szülők visszajelzései pedig megerősítettek bennünket abban, hogy az óvoda és a bölcsőde jó úton jár. A hagyományőrző és a fenntarthatóságra nevelő szemlélet a mindennapok szerves részévé </w:t>
      </w:r>
      <w:r w:rsidR="00DD07AA" w:rsidRPr="00B616D6">
        <w:rPr>
          <w:rFonts w:ascii="Times New Roman" w:eastAsia="MS Mincho" w:hAnsi="Times New Roman" w:cs="Times New Roman"/>
          <w:sz w:val="24"/>
          <w:szCs w:val="24"/>
        </w:rPr>
        <w:t>próbáljuk tenni</w:t>
      </w:r>
      <w:r w:rsidRPr="00B616D6">
        <w:rPr>
          <w:rFonts w:ascii="Times New Roman" w:eastAsia="MS Mincho" w:hAnsi="Times New Roman" w:cs="Times New Roman"/>
          <w:sz w:val="24"/>
          <w:szCs w:val="24"/>
        </w:rPr>
        <w:t>, és a település életében egyre több megmutatkozási lehetőséget kaptunk.</w:t>
      </w:r>
    </w:p>
    <w:p w14:paraId="7F7B0735" w14:textId="2F8E4330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A következő nevelési évben a </w:t>
      </w:r>
      <w:r w:rsidR="00DD07AA" w:rsidRPr="00B616D6">
        <w:rPr>
          <w:rFonts w:ascii="Times New Roman" w:eastAsia="MS Mincho" w:hAnsi="Times New Roman" w:cs="Times New Roman"/>
          <w:sz w:val="24"/>
          <w:szCs w:val="24"/>
        </w:rPr>
        <w:t>digitális tervezés további gyakorlására az</w:t>
      </w: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 eszközök tudatosabb használatára és a differenciált fejlesztés további bővítésére helyezzük a hangsúlyt. Bízom benne, hogy közös munkánk eredményeként gyermekeink továbbra is biztonságban, szeretetben és örömmel élhetik meg óvodás és bölcsődés éveiket.</w:t>
      </w:r>
    </w:p>
    <w:p w14:paraId="2DD06BAC" w14:textId="6631B76D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A következő évben folytatnunk kell programjaink, fejlesztési, ismeretszerzési tevékenységeink és hagyományaink ápolását. Alkalmazkodnunk kell a jogszabályi változásokhoz, és a pedagógiai programunkat ennek megfelelően kell működtetni, átgondolni. </w:t>
      </w:r>
      <w:r w:rsidR="00DD07AA" w:rsidRPr="00B616D6">
        <w:rPr>
          <w:rFonts w:ascii="Times New Roman" w:eastAsia="MS Mincho" w:hAnsi="Times New Roman" w:cs="Times New Roman"/>
          <w:sz w:val="24"/>
          <w:szCs w:val="24"/>
        </w:rPr>
        <w:t xml:space="preserve">A </w:t>
      </w:r>
      <w:r w:rsidR="0001447A" w:rsidRPr="00B616D6">
        <w:rPr>
          <w:rFonts w:ascii="Times New Roman" w:eastAsia="MS Mincho" w:hAnsi="Times New Roman" w:cs="Times New Roman"/>
          <w:sz w:val="24"/>
          <w:szCs w:val="24"/>
        </w:rPr>
        <w:t xml:space="preserve"> pedagógus </w:t>
      </w:r>
      <w:r w:rsidR="00DD07AA" w:rsidRPr="00B616D6">
        <w:rPr>
          <w:rFonts w:ascii="Times New Roman" w:eastAsia="MS Mincho" w:hAnsi="Times New Roman" w:cs="Times New Roman"/>
          <w:sz w:val="24"/>
          <w:szCs w:val="24"/>
        </w:rPr>
        <w:t xml:space="preserve">teljesítmény értékelési rendszer </w:t>
      </w:r>
      <w:r w:rsidR="0001447A" w:rsidRPr="00B616D6">
        <w:rPr>
          <w:rFonts w:ascii="Times New Roman" w:eastAsia="MS Mincho" w:hAnsi="Times New Roman" w:cs="Times New Roman"/>
          <w:sz w:val="24"/>
          <w:szCs w:val="24"/>
        </w:rPr>
        <w:t xml:space="preserve">felfüggesztése </w:t>
      </w:r>
      <w:r w:rsidR="00D260CB" w:rsidRPr="00B616D6">
        <w:rPr>
          <w:rFonts w:ascii="Times New Roman" w:eastAsia="MS Mincho" w:hAnsi="Times New Roman" w:cs="Times New Roman"/>
          <w:sz w:val="24"/>
          <w:szCs w:val="24"/>
        </w:rPr>
        <w:t>a jogszabályi</w:t>
      </w:r>
      <w:r w:rsidR="0001447A" w:rsidRPr="00B616D6">
        <w:rPr>
          <w:rFonts w:ascii="Times New Roman" w:eastAsia="MS Mincho" w:hAnsi="Times New Roman" w:cs="Times New Roman"/>
          <w:sz w:val="24"/>
          <w:szCs w:val="24"/>
        </w:rPr>
        <w:t xml:space="preserve"> és tartalmi átdolgozása lehetőséget ad az új célokra való felkészülésre. </w:t>
      </w:r>
    </w:p>
    <w:p w14:paraId="2FBF8339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5900BED1" w14:textId="77777777" w:rsidR="00FD09AE" w:rsidRPr="00B616D6" w:rsidRDefault="00FD09AE" w:rsidP="009C0A31">
      <w:pPr>
        <w:spacing w:after="120"/>
        <w:jc w:val="both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B616D6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„A gyermek fejlődése nem a tudás felhalmozásáról, </w:t>
      </w:r>
    </w:p>
    <w:p w14:paraId="386A4E5B" w14:textId="02DA013E" w:rsidR="009C0A31" w:rsidRPr="00B616D6" w:rsidRDefault="00FD09AE" w:rsidP="009C0A31">
      <w:pPr>
        <w:spacing w:after="120"/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B616D6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hanem személyiségének kibontakoztatásáról szól.” </w:t>
      </w:r>
      <w:r w:rsidR="009C0A31" w:rsidRPr="00B616D6">
        <w:rPr>
          <w:rFonts w:ascii="Times New Roman" w:eastAsia="MS Mincho" w:hAnsi="Times New Roman" w:cs="Times New Roman"/>
          <w:b/>
          <w:bCs/>
          <w:i/>
          <w:iCs/>
          <w:color w:val="595959"/>
          <w:sz w:val="24"/>
          <w:szCs w:val="24"/>
        </w:rPr>
        <w:t>(Maria Montessori)</w:t>
      </w:r>
    </w:p>
    <w:p w14:paraId="614CDAC3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5C7165A5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Harc, 2026. 08. 27.</w:t>
      </w:r>
    </w:p>
    <w:p w14:paraId="05555FFC" w14:textId="77777777" w:rsidR="009C0A31" w:rsidRPr="00B616D6" w:rsidRDefault="009C0A31" w:rsidP="009C0A31">
      <w:pPr>
        <w:spacing w:after="120"/>
        <w:ind w:left="3600"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Tisztelettel:</w:t>
      </w:r>
    </w:p>
    <w:p w14:paraId="374FEF62" w14:textId="3CCBCA3E" w:rsidR="009C0A31" w:rsidRPr="00B616D6" w:rsidRDefault="009C0A31" w:rsidP="009C0A31">
      <w:pPr>
        <w:spacing w:after="120"/>
        <w:ind w:left="3600" w:firstLine="7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 xml:space="preserve">Horváth 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Andrea óvodaigazgató</w:t>
      </w:r>
    </w:p>
    <w:p w14:paraId="109F5C38" w14:textId="4FEE4D43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4CA18D1C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br w:type="page"/>
      </w:r>
    </w:p>
    <w:p w14:paraId="6CAF50EC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lastRenderedPageBreak/>
        <w:t>Melléklet</w:t>
      </w:r>
    </w:p>
    <w:p w14:paraId="1CC06134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Jegyzőkönyv: Nevelőtestületi legitimáció</w:t>
      </w:r>
    </w:p>
    <w:p w14:paraId="1B5DB7EC" w14:textId="77777777" w:rsidR="009C0A31" w:rsidRPr="00B616D6" w:rsidRDefault="009C0A31" w:rsidP="009C0A31">
      <w:pPr>
        <w:tabs>
          <w:tab w:val="num" w:pos="360"/>
        </w:tabs>
        <w:spacing w:after="120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Jegyzőkönyv: Szülői legitimáció</w:t>
      </w:r>
    </w:p>
    <w:p w14:paraId="68194556" w14:textId="77777777" w:rsidR="009C0A31" w:rsidRPr="00B616D6" w:rsidRDefault="009C0A31" w:rsidP="009C0A31">
      <w:pPr>
        <w:keepNext/>
        <w:keepLines/>
        <w:spacing w:before="240" w:after="100"/>
        <w:jc w:val="both"/>
        <w:outlineLvl w:val="0"/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</w:pPr>
      <w:r w:rsidRPr="00B616D6">
        <w:rPr>
          <w:rFonts w:ascii="Times New Roman" w:eastAsia="MS Gothic" w:hAnsi="Times New Roman" w:cs="Times New Roman"/>
          <w:b/>
          <w:bCs/>
          <w:color w:val="2D5A27"/>
          <w:sz w:val="24"/>
          <w:szCs w:val="24"/>
        </w:rPr>
        <w:t>Nevelőtestületi legitimáció</w:t>
      </w:r>
    </w:p>
    <w:p w14:paraId="2C85D739" w14:textId="77777777" w:rsidR="009C0A31" w:rsidRPr="00B616D6" w:rsidRDefault="009C0A31" w:rsidP="00FD09AE">
      <w:pPr>
        <w:spacing w:after="120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Harci Kincsesláda Óvoda és Mini Bölcsőde alkalmazottai és nevelőtestülete megismerte és elfogadja Horváth Andrea intézményvezető 2025-2026. évi éves beszámolóját.</w:t>
      </w:r>
    </w:p>
    <w:p w14:paraId="259E7D86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4C425306" w14:textId="7777777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sz w:val="24"/>
          <w:szCs w:val="24"/>
        </w:rPr>
        <w:t>Jelenléti ív</w:t>
      </w:r>
    </w:p>
    <w:p w14:paraId="2777E2C0" w14:textId="6732285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Horváth Andrea ……………………………………………………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…………………..</w:t>
      </w:r>
    </w:p>
    <w:p w14:paraId="3D42A3DC" w14:textId="66861A4C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Koppány Teréz ……………………………………………………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……………………</w:t>
      </w:r>
    </w:p>
    <w:p w14:paraId="40950D08" w14:textId="052FE415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Kapéter Jordána ……………………………………………………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……………………</w:t>
      </w:r>
    </w:p>
    <w:p w14:paraId="3121CB24" w14:textId="70F030B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Staubné Andrási Csilla ……………………………………………………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…………….</w:t>
      </w:r>
    </w:p>
    <w:p w14:paraId="787AF8BE" w14:textId="1F092E46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Homokiné Dunai Johanna ……………………………………………………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…………..</w:t>
      </w:r>
    </w:p>
    <w:p w14:paraId="20A59AF8" w14:textId="6981F167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Wilhelm Erika ……………………………………………………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………………………</w:t>
      </w:r>
    </w:p>
    <w:p w14:paraId="0C36DF02" w14:textId="6489AD88" w:rsidR="009C0A31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Müller Ferencné ……………………………………………………</w:t>
      </w:r>
      <w:r w:rsidR="00FD09AE" w:rsidRPr="00B616D6">
        <w:rPr>
          <w:rFonts w:ascii="Times New Roman" w:eastAsia="MS Mincho" w:hAnsi="Times New Roman" w:cs="Times New Roman"/>
          <w:sz w:val="24"/>
          <w:szCs w:val="24"/>
        </w:rPr>
        <w:t>…………………….</w:t>
      </w:r>
    </w:p>
    <w:p w14:paraId="5D35E332" w14:textId="77777777" w:rsidR="00FD09AE" w:rsidRPr="00B616D6" w:rsidRDefault="009C0A31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Czövekné Kocsándi Diána Krisztina ……………………………………………………..</w:t>
      </w:r>
    </w:p>
    <w:p w14:paraId="4DE82E32" w14:textId="77777777" w:rsidR="00FD09AE" w:rsidRPr="00B616D6" w:rsidRDefault="00FD09AE" w:rsidP="009C0A31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3E4CED9D" w14:textId="77777777" w:rsidR="00FD09AE" w:rsidRPr="00B616D6" w:rsidRDefault="00FD09AE" w:rsidP="00FD09AE">
      <w:pPr>
        <w:spacing w:after="120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B616D6">
        <w:rPr>
          <w:rFonts w:ascii="Times New Roman" w:eastAsia="MS Mincho" w:hAnsi="Times New Roman" w:cs="Times New Roman"/>
          <w:b/>
          <w:bCs/>
          <w:sz w:val="24"/>
          <w:szCs w:val="24"/>
        </w:rPr>
        <w:t>Szülői legitimáció</w:t>
      </w:r>
    </w:p>
    <w:p w14:paraId="284466EB" w14:textId="77777777" w:rsidR="00FD09AE" w:rsidRPr="00B616D6" w:rsidRDefault="00FD09AE" w:rsidP="00FD09A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A Szülői szervezet képviselői megismerték és elfogadják Horváth Andrea intézményvezető 2025-2026. évi éves beszámolóját.</w:t>
      </w:r>
    </w:p>
    <w:p w14:paraId="632D18C4" w14:textId="77777777" w:rsidR="00FD09AE" w:rsidRPr="00B616D6" w:rsidRDefault="00FD09AE" w:rsidP="00FD09A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541BF769" w14:textId="77777777" w:rsidR="00FD09AE" w:rsidRPr="00B616D6" w:rsidRDefault="00FD09AE" w:rsidP="00FD09A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Harc, 2026. ………………</w:t>
      </w:r>
    </w:p>
    <w:p w14:paraId="4FEF59AD" w14:textId="77777777" w:rsidR="00FD09AE" w:rsidRPr="00B616D6" w:rsidRDefault="00FD09AE" w:rsidP="00FD09A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2C501638" w14:textId="2D1CC312" w:rsidR="00FD09AE" w:rsidRPr="00B616D6" w:rsidRDefault="00FD09AE" w:rsidP="00FD09AE">
      <w:pPr>
        <w:spacing w:after="120"/>
        <w:rPr>
          <w:rFonts w:ascii="Times New Roman" w:eastAsia="MS Mincho" w:hAnsi="Times New Roman" w:cs="Times New Roman"/>
          <w:sz w:val="24"/>
          <w:szCs w:val="24"/>
        </w:rPr>
      </w:pPr>
      <w:r w:rsidRPr="00B616D6">
        <w:rPr>
          <w:rFonts w:ascii="Times New Roman" w:eastAsia="MS Mincho" w:hAnsi="Times New Roman" w:cs="Times New Roman"/>
          <w:sz w:val="24"/>
          <w:szCs w:val="24"/>
        </w:rPr>
        <w:t>Szülői szervezet képviselőjének nevében: ……………………………………………………………….</w:t>
      </w:r>
    </w:p>
    <w:p w14:paraId="17712A0E" w14:textId="77777777" w:rsidR="00FD09AE" w:rsidRPr="00B616D6" w:rsidRDefault="00FD09AE" w:rsidP="00FD09A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62AF0F81" w14:textId="7428ACEB" w:rsidR="00E15245" w:rsidRPr="00FD09AE" w:rsidRDefault="00E15245" w:rsidP="00FD09A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sectPr w:rsidR="00E15245" w:rsidRPr="00FD09AE" w:rsidSect="00690D9D">
      <w:headerReference w:type="default" r:id="rId8"/>
      <w:headerReference w:type="first" r:id="rId9"/>
      <w:pgSz w:w="11906" w:h="16838"/>
      <w:pgMar w:top="1417" w:right="1417" w:bottom="1417" w:left="1417" w:header="142" w:footer="12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EC410" w14:textId="77777777" w:rsidR="00815F8F" w:rsidRPr="00B616D6" w:rsidRDefault="00815F8F" w:rsidP="00FF65A8">
      <w:pPr>
        <w:spacing w:after="0" w:line="240" w:lineRule="auto"/>
      </w:pPr>
      <w:r w:rsidRPr="00B616D6">
        <w:separator/>
      </w:r>
    </w:p>
  </w:endnote>
  <w:endnote w:type="continuationSeparator" w:id="0">
    <w:p w14:paraId="2950A272" w14:textId="77777777" w:rsidR="00815F8F" w:rsidRPr="00B616D6" w:rsidRDefault="00815F8F" w:rsidP="00FF65A8">
      <w:pPr>
        <w:spacing w:after="0" w:line="240" w:lineRule="auto"/>
      </w:pPr>
      <w:r w:rsidRPr="00B616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7E15E" w14:textId="77777777" w:rsidR="00815F8F" w:rsidRPr="00B616D6" w:rsidRDefault="00815F8F" w:rsidP="00FF65A8">
      <w:pPr>
        <w:spacing w:after="0" w:line="240" w:lineRule="auto"/>
      </w:pPr>
      <w:r w:rsidRPr="00B616D6">
        <w:separator/>
      </w:r>
    </w:p>
  </w:footnote>
  <w:footnote w:type="continuationSeparator" w:id="0">
    <w:p w14:paraId="1A75B931" w14:textId="77777777" w:rsidR="00815F8F" w:rsidRPr="00B616D6" w:rsidRDefault="00815F8F" w:rsidP="00FF65A8">
      <w:pPr>
        <w:spacing w:after="0" w:line="240" w:lineRule="auto"/>
      </w:pPr>
      <w:r w:rsidRPr="00B616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DFE0" w14:textId="77777777" w:rsidR="00690D9D" w:rsidRPr="00B616D6" w:rsidRDefault="00690D9D" w:rsidP="00690D9D">
    <w:pPr>
      <w:pStyle w:val="lfej"/>
      <w:rPr>
        <w:rFonts w:ascii="Times New Roman" w:hAnsi="Times New Roman" w:cs="Times New Roman"/>
        <w:sz w:val="24"/>
        <w:szCs w:val="24"/>
      </w:rPr>
    </w:pPr>
    <w:r w:rsidRPr="00B616D6">
      <w:rPr>
        <w:rFonts w:ascii="Times New Roman" w:hAnsi="Times New Roman" w:cs="Times New Roman"/>
        <w:sz w:val="24"/>
        <w:szCs w:val="24"/>
      </w:rPr>
      <w:t xml:space="preserve">    </w:t>
    </w:r>
  </w:p>
  <w:p w14:paraId="232F7017" w14:textId="77777777" w:rsidR="00690D9D" w:rsidRPr="00B616D6" w:rsidRDefault="00690D9D" w:rsidP="00690D9D">
    <w:pPr>
      <w:pStyle w:val="lfej"/>
      <w:jc w:val="center"/>
      <w:rPr>
        <w:rFonts w:ascii="Monotype Corsiva" w:hAnsi="Monotype Corsiva" w:cs="Times New Roman"/>
        <w:b/>
        <w:i/>
        <w:sz w:val="24"/>
        <w:szCs w:val="24"/>
      </w:rPr>
    </w:pPr>
    <w:r w:rsidRPr="00B616D6">
      <w:rPr>
        <w:rFonts w:ascii="Times New Roman" w:hAnsi="Times New Roman" w:cs="Times New Roman"/>
        <w:noProof/>
        <w:sz w:val="24"/>
        <w:szCs w:val="24"/>
        <w:lang w:eastAsia="hu-HU"/>
      </w:rPr>
      <w:drawing>
        <wp:anchor distT="0" distB="0" distL="114300" distR="114300" simplePos="0" relativeHeight="251660288" behindDoc="1" locked="0" layoutInCell="1" allowOverlap="1" wp14:anchorId="1EDFD627" wp14:editId="0C27679E">
          <wp:simplePos x="0" y="0"/>
          <wp:positionH relativeFrom="column">
            <wp:posOffset>176530</wp:posOffset>
          </wp:positionH>
          <wp:positionV relativeFrom="paragraph">
            <wp:posOffset>10795</wp:posOffset>
          </wp:positionV>
          <wp:extent cx="876300" cy="739775"/>
          <wp:effectExtent l="0" t="0" r="0" b="3175"/>
          <wp:wrapTight wrapText="bothSides">
            <wp:wrapPolygon edited="0">
              <wp:start x="5165" y="0"/>
              <wp:lineTo x="1409" y="8900"/>
              <wp:lineTo x="0" y="10568"/>
              <wp:lineTo x="0" y="20024"/>
              <wp:lineTo x="3757" y="21136"/>
              <wp:lineTo x="9391" y="21136"/>
              <wp:lineTo x="15965" y="21136"/>
              <wp:lineTo x="16435" y="21136"/>
              <wp:lineTo x="21130" y="10012"/>
              <wp:lineTo x="21130" y="1112"/>
              <wp:lineTo x="11270" y="0"/>
              <wp:lineTo x="5165" y="0"/>
            </wp:wrapPolygon>
          </wp:wrapTight>
          <wp:docPr id="459484563" name="Kép 459484563" descr="C:\Users\szaki\AppData\Local\Microsoft\Windows\INetCache\IE\2BNDV1GL\treasure-161753_960_72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zaki\AppData\Local\Microsoft\Windows\INetCache\IE\2BNDV1GL\treasure-161753_960_720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39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16D6">
      <w:rPr>
        <w:rFonts w:ascii="Monotype Corsiva" w:hAnsi="Monotype Corsiva" w:cs="Times New Roman"/>
        <w:b/>
        <w:i/>
        <w:sz w:val="24"/>
        <w:szCs w:val="24"/>
      </w:rPr>
      <w:t>Harci Kincsesláda Óvoda és Mini Bölcsőde</w:t>
    </w:r>
  </w:p>
  <w:p w14:paraId="6DEBE26B" w14:textId="77777777" w:rsidR="00690D9D" w:rsidRPr="00B616D6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 xml:space="preserve">7172 Harc, Kölesdi u. 2. </w:t>
    </w:r>
  </w:p>
  <w:p w14:paraId="0D5A0854" w14:textId="77777777" w:rsidR="00690D9D" w:rsidRPr="00B616D6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>OM: 203242</w:t>
    </w:r>
  </w:p>
  <w:p w14:paraId="51FE2FE5" w14:textId="77777777" w:rsidR="00690D9D" w:rsidRPr="00B616D6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>Telefon: 74/506-099</w:t>
    </w:r>
  </w:p>
  <w:p w14:paraId="1F803292" w14:textId="77777777" w:rsidR="00690D9D" w:rsidRPr="00B616D6" w:rsidRDefault="00690D9D" w:rsidP="00690D9D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 xml:space="preserve">Email: </w:t>
    </w:r>
    <w:hyperlink r:id="rId2" w:history="1">
      <w:r w:rsidRPr="00B616D6">
        <w:rPr>
          <w:rStyle w:val="Hiperhivatkozs"/>
          <w:rFonts w:ascii="Monotype Corsiva" w:hAnsi="Monotype Corsiva" w:cs="Times New Roman"/>
          <w:sz w:val="24"/>
          <w:szCs w:val="24"/>
        </w:rPr>
        <w:t>harciovi@gmail.com</w:t>
      </w:r>
    </w:hyperlink>
  </w:p>
  <w:p w14:paraId="1420BE5E" w14:textId="77777777" w:rsidR="00690D9D" w:rsidRPr="00B616D6" w:rsidRDefault="00690D9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0C2BC" w14:textId="77777777" w:rsidR="000258CC" w:rsidRPr="00B616D6" w:rsidRDefault="00186EA3" w:rsidP="00186EA3">
    <w:pPr>
      <w:pStyle w:val="lfej"/>
      <w:rPr>
        <w:rFonts w:ascii="Times New Roman" w:hAnsi="Times New Roman" w:cs="Times New Roman"/>
        <w:sz w:val="24"/>
        <w:szCs w:val="24"/>
      </w:rPr>
    </w:pPr>
    <w:r w:rsidRPr="00B616D6">
      <w:rPr>
        <w:rFonts w:ascii="Times New Roman" w:hAnsi="Times New Roman" w:cs="Times New Roman"/>
        <w:sz w:val="24"/>
        <w:szCs w:val="24"/>
      </w:rPr>
      <w:t xml:space="preserve">    </w:t>
    </w:r>
  </w:p>
  <w:p w14:paraId="7FDB73C5" w14:textId="77777777" w:rsidR="000258CC" w:rsidRPr="00B616D6" w:rsidRDefault="00690D9D" w:rsidP="00186EA3">
    <w:pPr>
      <w:pStyle w:val="lfej"/>
      <w:jc w:val="center"/>
      <w:rPr>
        <w:rFonts w:ascii="Monotype Corsiva" w:hAnsi="Monotype Corsiva" w:cs="Times New Roman"/>
        <w:b/>
        <w:i/>
        <w:sz w:val="24"/>
        <w:szCs w:val="24"/>
      </w:rPr>
    </w:pPr>
    <w:bookmarkStart w:id="0" w:name="_Hlk178941310"/>
    <w:bookmarkStart w:id="1" w:name="_Hlk178941311"/>
    <w:r w:rsidRPr="00B616D6">
      <w:rPr>
        <w:rFonts w:ascii="Times New Roman" w:hAnsi="Times New Roman" w:cs="Times New Roman"/>
        <w:noProof/>
        <w:sz w:val="24"/>
        <w:szCs w:val="24"/>
        <w:lang w:eastAsia="hu-HU"/>
      </w:rPr>
      <w:drawing>
        <wp:anchor distT="0" distB="0" distL="114300" distR="114300" simplePos="0" relativeHeight="251658240" behindDoc="1" locked="0" layoutInCell="1" allowOverlap="1" wp14:anchorId="5EBEDCE2" wp14:editId="5B2CA4B0">
          <wp:simplePos x="0" y="0"/>
          <wp:positionH relativeFrom="column">
            <wp:posOffset>176530</wp:posOffset>
          </wp:positionH>
          <wp:positionV relativeFrom="paragraph">
            <wp:posOffset>10795</wp:posOffset>
          </wp:positionV>
          <wp:extent cx="876300" cy="739775"/>
          <wp:effectExtent l="0" t="0" r="0" b="3175"/>
          <wp:wrapTight wrapText="bothSides">
            <wp:wrapPolygon edited="0">
              <wp:start x="5165" y="0"/>
              <wp:lineTo x="1409" y="8900"/>
              <wp:lineTo x="0" y="10568"/>
              <wp:lineTo x="0" y="20024"/>
              <wp:lineTo x="3757" y="21136"/>
              <wp:lineTo x="9391" y="21136"/>
              <wp:lineTo x="15965" y="21136"/>
              <wp:lineTo x="16435" y="21136"/>
              <wp:lineTo x="21130" y="10012"/>
              <wp:lineTo x="21130" y="1112"/>
              <wp:lineTo x="11270" y="0"/>
              <wp:lineTo x="5165" y="0"/>
            </wp:wrapPolygon>
          </wp:wrapTight>
          <wp:docPr id="1317866546" name="Kép 1317866546" descr="C:\Users\szaki\AppData\Local\Microsoft\Windows\INetCache\IE\2BNDV1GL\treasure-161753_960_720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zaki\AppData\Local\Microsoft\Windows\INetCache\IE\2BNDV1GL\treasure-161753_960_720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39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6DB" w:rsidRPr="00B616D6">
      <w:rPr>
        <w:rFonts w:ascii="Monotype Corsiva" w:hAnsi="Monotype Corsiva" w:cs="Times New Roman"/>
        <w:b/>
        <w:i/>
        <w:sz w:val="24"/>
        <w:szCs w:val="24"/>
      </w:rPr>
      <w:t>Harci Kincsesláda Óvoda és Mini</w:t>
    </w:r>
    <w:r w:rsidR="00186EA3" w:rsidRPr="00B616D6">
      <w:rPr>
        <w:rFonts w:ascii="Monotype Corsiva" w:hAnsi="Monotype Corsiva" w:cs="Times New Roman"/>
        <w:b/>
        <w:i/>
        <w:sz w:val="24"/>
        <w:szCs w:val="24"/>
      </w:rPr>
      <w:t xml:space="preserve"> Bölcsőde</w:t>
    </w:r>
  </w:p>
  <w:p w14:paraId="20F545BA" w14:textId="77777777" w:rsidR="00186EA3" w:rsidRPr="00B616D6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 xml:space="preserve">7172 Harc, Kölesdi u. 2. </w:t>
    </w:r>
  </w:p>
  <w:p w14:paraId="7C80BF77" w14:textId="77777777" w:rsidR="00186EA3" w:rsidRPr="00B616D6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>OM:</w:t>
    </w:r>
    <w:r w:rsidR="004C6526" w:rsidRPr="00B616D6">
      <w:rPr>
        <w:rFonts w:ascii="Monotype Corsiva" w:hAnsi="Monotype Corsiva" w:cs="Times New Roman"/>
        <w:sz w:val="24"/>
        <w:szCs w:val="24"/>
      </w:rPr>
      <w:t xml:space="preserve"> 203242</w:t>
    </w:r>
  </w:p>
  <w:p w14:paraId="723E42B2" w14:textId="77777777" w:rsidR="00186EA3" w:rsidRPr="00B616D6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>Telefon: 74/506-099</w:t>
    </w:r>
  </w:p>
  <w:p w14:paraId="59919A47" w14:textId="77777777" w:rsidR="00186EA3" w:rsidRPr="00B616D6" w:rsidRDefault="00186EA3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  <w:r w:rsidRPr="00B616D6">
      <w:rPr>
        <w:rFonts w:ascii="Monotype Corsiva" w:hAnsi="Monotype Corsiva" w:cs="Times New Roman"/>
        <w:sz w:val="24"/>
        <w:szCs w:val="24"/>
      </w:rPr>
      <w:t xml:space="preserve">Email: </w:t>
    </w:r>
    <w:hyperlink r:id="rId2" w:history="1">
      <w:r w:rsidR="00690D9D" w:rsidRPr="00B616D6">
        <w:rPr>
          <w:rStyle w:val="Hiperhivatkozs"/>
          <w:rFonts w:ascii="Monotype Corsiva" w:hAnsi="Monotype Corsiva" w:cs="Times New Roman"/>
          <w:sz w:val="24"/>
          <w:szCs w:val="24"/>
        </w:rPr>
        <w:t>harciovi@gmail.com</w:t>
      </w:r>
    </w:hyperlink>
    <w:bookmarkEnd w:id="0"/>
    <w:bookmarkEnd w:id="1"/>
  </w:p>
  <w:p w14:paraId="41D87A1F" w14:textId="77777777" w:rsidR="00690D9D" w:rsidRPr="00B616D6" w:rsidRDefault="00690D9D" w:rsidP="00186EA3">
    <w:pPr>
      <w:pStyle w:val="lfej"/>
      <w:jc w:val="center"/>
      <w:rPr>
        <w:rFonts w:ascii="Monotype Corsiva" w:hAnsi="Monotype Corsiva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E4C53"/>
    <w:multiLevelType w:val="hybridMultilevel"/>
    <w:tmpl w:val="18FC0008"/>
    <w:lvl w:ilvl="0" w:tplc="67CC7C7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A31D4"/>
    <w:multiLevelType w:val="hybridMultilevel"/>
    <w:tmpl w:val="45BE1E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E2DDB"/>
    <w:multiLevelType w:val="hybridMultilevel"/>
    <w:tmpl w:val="8DEC0F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43D89"/>
    <w:multiLevelType w:val="multilevel"/>
    <w:tmpl w:val="BD285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B2563E"/>
    <w:multiLevelType w:val="hybridMultilevel"/>
    <w:tmpl w:val="6E4CD7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47FCC"/>
    <w:multiLevelType w:val="hybridMultilevel"/>
    <w:tmpl w:val="72A457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D402E"/>
    <w:multiLevelType w:val="multilevel"/>
    <w:tmpl w:val="EBB6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3244E2"/>
    <w:multiLevelType w:val="multilevel"/>
    <w:tmpl w:val="BC628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745175">
    <w:abstractNumId w:val="4"/>
  </w:num>
  <w:num w:numId="2" w16cid:durableId="421686811">
    <w:abstractNumId w:val="2"/>
  </w:num>
  <w:num w:numId="3" w16cid:durableId="1535994890">
    <w:abstractNumId w:val="5"/>
  </w:num>
  <w:num w:numId="4" w16cid:durableId="154495902">
    <w:abstractNumId w:val="1"/>
  </w:num>
  <w:num w:numId="5" w16cid:durableId="1875800195">
    <w:abstractNumId w:val="0"/>
  </w:num>
  <w:num w:numId="6" w16cid:durableId="401952718">
    <w:abstractNumId w:val="3"/>
  </w:num>
  <w:num w:numId="7" w16cid:durableId="81728338">
    <w:abstractNumId w:val="6"/>
  </w:num>
  <w:num w:numId="8" w16cid:durableId="10597410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A8"/>
    <w:rsid w:val="0001119A"/>
    <w:rsid w:val="00011C97"/>
    <w:rsid w:val="0001447A"/>
    <w:rsid w:val="00017C37"/>
    <w:rsid w:val="000258CC"/>
    <w:rsid w:val="00042A92"/>
    <w:rsid w:val="0005193C"/>
    <w:rsid w:val="0005409F"/>
    <w:rsid w:val="00064D73"/>
    <w:rsid w:val="00071B51"/>
    <w:rsid w:val="000847CF"/>
    <w:rsid w:val="00094B91"/>
    <w:rsid w:val="00095251"/>
    <w:rsid w:val="000A35BA"/>
    <w:rsid w:val="000B2DA5"/>
    <w:rsid w:val="000B7BD5"/>
    <w:rsid w:val="000C067C"/>
    <w:rsid w:val="000C3DBB"/>
    <w:rsid w:val="000D795A"/>
    <w:rsid w:val="000E58DB"/>
    <w:rsid w:val="000E5DE5"/>
    <w:rsid w:val="000E7EBC"/>
    <w:rsid w:val="0010184C"/>
    <w:rsid w:val="00106D4B"/>
    <w:rsid w:val="001076E0"/>
    <w:rsid w:val="0011022F"/>
    <w:rsid w:val="00133890"/>
    <w:rsid w:val="00134732"/>
    <w:rsid w:val="0014337F"/>
    <w:rsid w:val="00147B0A"/>
    <w:rsid w:val="00152CA0"/>
    <w:rsid w:val="001653C5"/>
    <w:rsid w:val="00183F0F"/>
    <w:rsid w:val="00186EA3"/>
    <w:rsid w:val="00187004"/>
    <w:rsid w:val="00196C6A"/>
    <w:rsid w:val="001A0BE5"/>
    <w:rsid w:val="001A2671"/>
    <w:rsid w:val="001B08FB"/>
    <w:rsid w:val="001B342F"/>
    <w:rsid w:val="001C126B"/>
    <w:rsid w:val="002105AD"/>
    <w:rsid w:val="00217CA3"/>
    <w:rsid w:val="00234392"/>
    <w:rsid w:val="0028662D"/>
    <w:rsid w:val="002972DB"/>
    <w:rsid w:val="002A3336"/>
    <w:rsid w:val="002D1E4B"/>
    <w:rsid w:val="002D5899"/>
    <w:rsid w:val="002E1ABE"/>
    <w:rsid w:val="002E30A9"/>
    <w:rsid w:val="0034168E"/>
    <w:rsid w:val="00347AF0"/>
    <w:rsid w:val="003536DC"/>
    <w:rsid w:val="003D4B77"/>
    <w:rsid w:val="003D763F"/>
    <w:rsid w:val="003E7975"/>
    <w:rsid w:val="00402455"/>
    <w:rsid w:val="0041067E"/>
    <w:rsid w:val="00412ED1"/>
    <w:rsid w:val="004479A7"/>
    <w:rsid w:val="00467759"/>
    <w:rsid w:val="00471E8D"/>
    <w:rsid w:val="00472888"/>
    <w:rsid w:val="00475CB6"/>
    <w:rsid w:val="00477D83"/>
    <w:rsid w:val="004C6526"/>
    <w:rsid w:val="004D2BE3"/>
    <w:rsid w:val="004D6860"/>
    <w:rsid w:val="004D734E"/>
    <w:rsid w:val="004D76C0"/>
    <w:rsid w:val="004E209A"/>
    <w:rsid w:val="005247AC"/>
    <w:rsid w:val="0052745F"/>
    <w:rsid w:val="00543EB5"/>
    <w:rsid w:val="00545D4C"/>
    <w:rsid w:val="00554D39"/>
    <w:rsid w:val="00562B2E"/>
    <w:rsid w:val="0057037A"/>
    <w:rsid w:val="00571857"/>
    <w:rsid w:val="00580AFA"/>
    <w:rsid w:val="00581B9A"/>
    <w:rsid w:val="005844CC"/>
    <w:rsid w:val="005A27F3"/>
    <w:rsid w:val="005B7E94"/>
    <w:rsid w:val="005C43F3"/>
    <w:rsid w:val="005D4ACE"/>
    <w:rsid w:val="005D63DE"/>
    <w:rsid w:val="00604087"/>
    <w:rsid w:val="00613C76"/>
    <w:rsid w:val="006643AD"/>
    <w:rsid w:val="0066748D"/>
    <w:rsid w:val="0066795A"/>
    <w:rsid w:val="00681FD5"/>
    <w:rsid w:val="00682007"/>
    <w:rsid w:val="00690D9D"/>
    <w:rsid w:val="006A1B66"/>
    <w:rsid w:val="006A74EE"/>
    <w:rsid w:val="00711C04"/>
    <w:rsid w:val="007215C1"/>
    <w:rsid w:val="0072564F"/>
    <w:rsid w:val="00736DB3"/>
    <w:rsid w:val="007440CB"/>
    <w:rsid w:val="007464EE"/>
    <w:rsid w:val="007577A7"/>
    <w:rsid w:val="00775158"/>
    <w:rsid w:val="00780FD6"/>
    <w:rsid w:val="00793D67"/>
    <w:rsid w:val="007C22AD"/>
    <w:rsid w:val="00815F8F"/>
    <w:rsid w:val="0082042D"/>
    <w:rsid w:val="008229A6"/>
    <w:rsid w:val="00831778"/>
    <w:rsid w:val="00865257"/>
    <w:rsid w:val="008713BB"/>
    <w:rsid w:val="00873DF9"/>
    <w:rsid w:val="00893758"/>
    <w:rsid w:val="008B1B94"/>
    <w:rsid w:val="008B35E5"/>
    <w:rsid w:val="009309AF"/>
    <w:rsid w:val="00931129"/>
    <w:rsid w:val="00951EF4"/>
    <w:rsid w:val="009620CB"/>
    <w:rsid w:val="00962507"/>
    <w:rsid w:val="009774AA"/>
    <w:rsid w:val="009A5104"/>
    <w:rsid w:val="009A6468"/>
    <w:rsid w:val="009C0A31"/>
    <w:rsid w:val="009C24B1"/>
    <w:rsid w:val="009C4DDA"/>
    <w:rsid w:val="009C60A4"/>
    <w:rsid w:val="009D6BA5"/>
    <w:rsid w:val="00A04864"/>
    <w:rsid w:val="00A11682"/>
    <w:rsid w:val="00A32446"/>
    <w:rsid w:val="00A436A5"/>
    <w:rsid w:val="00A63A4B"/>
    <w:rsid w:val="00A75599"/>
    <w:rsid w:val="00A768BC"/>
    <w:rsid w:val="00A8195B"/>
    <w:rsid w:val="00A84E25"/>
    <w:rsid w:val="00A9734A"/>
    <w:rsid w:val="00AA3B8A"/>
    <w:rsid w:val="00B27A9E"/>
    <w:rsid w:val="00B365B2"/>
    <w:rsid w:val="00B53519"/>
    <w:rsid w:val="00B54902"/>
    <w:rsid w:val="00B616D6"/>
    <w:rsid w:val="00B711F3"/>
    <w:rsid w:val="00B77F62"/>
    <w:rsid w:val="00B816D5"/>
    <w:rsid w:val="00BC3608"/>
    <w:rsid w:val="00BC447D"/>
    <w:rsid w:val="00BC579C"/>
    <w:rsid w:val="00BE0A3C"/>
    <w:rsid w:val="00BF7EB9"/>
    <w:rsid w:val="00C00BA0"/>
    <w:rsid w:val="00C04B32"/>
    <w:rsid w:val="00C13CC4"/>
    <w:rsid w:val="00C4785C"/>
    <w:rsid w:val="00C47BED"/>
    <w:rsid w:val="00C60EF9"/>
    <w:rsid w:val="00C864D4"/>
    <w:rsid w:val="00C9637B"/>
    <w:rsid w:val="00C96676"/>
    <w:rsid w:val="00CA2398"/>
    <w:rsid w:val="00CA4CA6"/>
    <w:rsid w:val="00D12CE9"/>
    <w:rsid w:val="00D15789"/>
    <w:rsid w:val="00D22973"/>
    <w:rsid w:val="00D260CB"/>
    <w:rsid w:val="00D26656"/>
    <w:rsid w:val="00D46D97"/>
    <w:rsid w:val="00DB1E9E"/>
    <w:rsid w:val="00DB5097"/>
    <w:rsid w:val="00DC0F17"/>
    <w:rsid w:val="00DC1D17"/>
    <w:rsid w:val="00DD07AA"/>
    <w:rsid w:val="00DE7295"/>
    <w:rsid w:val="00DF4395"/>
    <w:rsid w:val="00E15245"/>
    <w:rsid w:val="00E320F9"/>
    <w:rsid w:val="00E54A28"/>
    <w:rsid w:val="00E56F05"/>
    <w:rsid w:val="00E576DB"/>
    <w:rsid w:val="00E600AB"/>
    <w:rsid w:val="00E6295E"/>
    <w:rsid w:val="00E704B2"/>
    <w:rsid w:val="00E84C58"/>
    <w:rsid w:val="00EA01BD"/>
    <w:rsid w:val="00EA04AC"/>
    <w:rsid w:val="00EB3209"/>
    <w:rsid w:val="00EC7190"/>
    <w:rsid w:val="00EE491D"/>
    <w:rsid w:val="00EF7FF9"/>
    <w:rsid w:val="00F17FE7"/>
    <w:rsid w:val="00F235D7"/>
    <w:rsid w:val="00F41F52"/>
    <w:rsid w:val="00F62363"/>
    <w:rsid w:val="00F62A89"/>
    <w:rsid w:val="00F83862"/>
    <w:rsid w:val="00F838BC"/>
    <w:rsid w:val="00F93262"/>
    <w:rsid w:val="00F948D1"/>
    <w:rsid w:val="00FB75B2"/>
    <w:rsid w:val="00FD09AE"/>
    <w:rsid w:val="00FD6AAB"/>
    <w:rsid w:val="00FF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95501"/>
  <w15:docId w15:val="{D670E1BA-4D0B-470B-B6C9-D8302028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22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F6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65A8"/>
  </w:style>
  <w:style w:type="paragraph" w:styleId="llb">
    <w:name w:val="footer"/>
    <w:basedOn w:val="Norml"/>
    <w:link w:val="llbChar"/>
    <w:uiPriority w:val="99"/>
    <w:unhideWhenUsed/>
    <w:rsid w:val="00FF6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5A8"/>
  </w:style>
  <w:style w:type="paragraph" w:styleId="Listaszerbekezds">
    <w:name w:val="List Paragraph"/>
    <w:basedOn w:val="Norml"/>
    <w:uiPriority w:val="34"/>
    <w:qFormat/>
    <w:rsid w:val="00C864D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6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6EA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477D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hivatkozs">
    <w:name w:val="Hyperlink"/>
    <w:basedOn w:val="Bekezdsalapbettpusa"/>
    <w:uiPriority w:val="99"/>
    <w:unhideWhenUsed/>
    <w:rsid w:val="00690D9D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90D9D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9C0A31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arciovi@gmail.com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harciovi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10D5A-D90D-4829-816C-03476F15F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3122</Words>
  <Characters>21546</Characters>
  <Application>Microsoft Office Word</Application>
  <DocSecurity>0</DocSecurity>
  <Lines>179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andrea0731@sulid.hu</cp:lastModifiedBy>
  <cp:revision>7</cp:revision>
  <cp:lastPrinted>2026-03-05T09:30:00Z</cp:lastPrinted>
  <dcterms:created xsi:type="dcterms:W3CDTF">2026-08-27T16:44:00Z</dcterms:created>
  <dcterms:modified xsi:type="dcterms:W3CDTF">2026-09-14T16:17:00Z</dcterms:modified>
</cp:coreProperties>
</file>