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18" w:rsidRPr="00697C71" w:rsidRDefault="00180518" w:rsidP="00697C71">
      <w:pPr>
        <w:tabs>
          <w:tab w:val="left" w:pos="6300"/>
        </w:tabs>
        <w:rPr>
          <w:rFonts w:asciiTheme="minorHAnsi" w:hAnsiTheme="minorHAnsi"/>
        </w:rPr>
      </w:pPr>
    </w:p>
    <w:p w:rsidR="00180518" w:rsidRPr="00567AA0" w:rsidRDefault="00180518" w:rsidP="00180518">
      <w:pPr>
        <w:spacing w:after="5"/>
        <w:ind w:left="-5"/>
        <w:jc w:val="both"/>
        <w:rPr>
          <w:rFonts w:ascii="Calibri" w:hAnsi="Calibri"/>
        </w:rPr>
      </w:pP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  <w:b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  <w:b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Pr="00567AA0" w:rsidRDefault="009B2ECB" w:rsidP="00180518">
      <w:pPr>
        <w:jc w:val="both"/>
        <w:rPr>
          <w:rFonts w:ascii="Calibri" w:hAnsi="Calibri"/>
        </w:rPr>
      </w:pP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  <w:b/>
        </w:rPr>
        <w:t xml:space="preserve"> </w:t>
      </w:r>
    </w:p>
    <w:p w:rsidR="00180518" w:rsidRPr="00567AA0" w:rsidRDefault="00180518" w:rsidP="00180518">
      <w:pPr>
        <w:spacing w:after="5"/>
        <w:ind w:left="1160" w:right="1204"/>
        <w:jc w:val="center"/>
        <w:rPr>
          <w:rFonts w:ascii="Calibri" w:hAnsi="Calibri"/>
        </w:rPr>
      </w:pPr>
      <w:r w:rsidRPr="00567AA0">
        <w:rPr>
          <w:rFonts w:ascii="Calibri" w:hAnsi="Calibri"/>
          <w:b/>
        </w:rPr>
        <w:t>ELLENŐRZÉSI JELENTÉS</w:t>
      </w:r>
    </w:p>
    <w:p w:rsidR="00180518" w:rsidRPr="00567AA0" w:rsidRDefault="00180518" w:rsidP="00180518">
      <w:pPr>
        <w:ind w:right="3"/>
        <w:jc w:val="both"/>
        <w:rPr>
          <w:rFonts w:ascii="Calibri" w:hAnsi="Calibri"/>
        </w:rPr>
      </w:pPr>
      <w:r w:rsidRPr="00567AA0">
        <w:rPr>
          <w:rFonts w:ascii="Calibri" w:hAnsi="Calibri"/>
          <w:b/>
        </w:rPr>
        <w:t xml:space="preserve"> </w:t>
      </w:r>
    </w:p>
    <w:p w:rsidR="00180518" w:rsidRPr="000B04AD" w:rsidRDefault="00A032AB" w:rsidP="00180518">
      <w:pPr>
        <w:spacing w:after="5"/>
        <w:ind w:left="1160" w:right="120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Harc</w:t>
      </w:r>
      <w:r w:rsidR="00B41110" w:rsidRPr="000B04AD">
        <w:rPr>
          <w:rFonts w:ascii="Calibri" w:hAnsi="Calibri"/>
          <w:b/>
        </w:rPr>
        <w:t xml:space="preserve"> Község</w:t>
      </w:r>
      <w:r w:rsidR="003E1CCF" w:rsidRPr="000B04AD">
        <w:rPr>
          <w:rFonts w:ascii="Calibri" w:hAnsi="Calibri"/>
          <w:b/>
        </w:rPr>
        <w:t xml:space="preserve"> Önkormányzatánál a</w:t>
      </w:r>
      <w:r w:rsidR="009D2249" w:rsidRPr="009D2249">
        <w:rPr>
          <w:rFonts w:cstheme="minorHAnsi"/>
          <w:b/>
        </w:rPr>
        <w:t xml:space="preserve"> </w:t>
      </w:r>
      <w:r w:rsidR="009D2249" w:rsidRPr="00161AD6">
        <w:rPr>
          <w:rFonts w:cstheme="minorHAnsi"/>
          <w:b/>
        </w:rPr>
        <w:t>tárgyi eszközök</w:t>
      </w:r>
      <w:r w:rsidR="009D2249">
        <w:rPr>
          <w:rFonts w:cstheme="minorHAnsi"/>
          <w:b/>
        </w:rPr>
        <w:t xml:space="preserve"> állománya,</w:t>
      </w:r>
      <w:r w:rsidR="009D2249" w:rsidRPr="00161AD6">
        <w:rPr>
          <w:rFonts w:cstheme="minorHAnsi"/>
          <w:b/>
        </w:rPr>
        <w:t xml:space="preserve"> nyilvántartásának</w:t>
      </w:r>
      <w:r w:rsidR="003E1CCF" w:rsidRPr="000B04AD">
        <w:rPr>
          <w:rFonts w:ascii="Calibri" w:hAnsi="Calibri"/>
          <w:b/>
        </w:rPr>
        <w:t xml:space="preserve"> </w:t>
      </w:r>
      <w:r w:rsidR="00180518" w:rsidRPr="000B04AD">
        <w:rPr>
          <w:rFonts w:ascii="Calibri" w:hAnsi="Calibri"/>
          <w:b/>
        </w:rPr>
        <w:t>ellenőrzése című vizsgálathoz</w:t>
      </w:r>
    </w:p>
    <w:p w:rsidR="00180518" w:rsidRPr="00567AA0" w:rsidRDefault="00180518" w:rsidP="00180518">
      <w:pPr>
        <w:ind w:right="3"/>
        <w:jc w:val="both"/>
        <w:rPr>
          <w:rFonts w:ascii="Calibri" w:hAnsi="Calibri"/>
        </w:rPr>
      </w:pPr>
      <w:r w:rsidRPr="00567AA0">
        <w:rPr>
          <w:rFonts w:ascii="Calibri" w:hAnsi="Calibri"/>
          <w:b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Default="009B2ECB" w:rsidP="00180518">
      <w:pPr>
        <w:jc w:val="both"/>
        <w:rPr>
          <w:rFonts w:ascii="Calibri" w:hAnsi="Calibri"/>
        </w:rPr>
      </w:pPr>
    </w:p>
    <w:p w:rsidR="009B2ECB" w:rsidRPr="00567AA0" w:rsidRDefault="009B2ECB" w:rsidP="00180518">
      <w:pPr>
        <w:jc w:val="both"/>
        <w:rPr>
          <w:rFonts w:ascii="Calibri" w:hAnsi="Calibri"/>
        </w:rPr>
      </w:pP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p w:rsidR="00180518" w:rsidRPr="00892827" w:rsidRDefault="00180518" w:rsidP="00892827">
      <w:pPr>
        <w:tabs>
          <w:tab w:val="center" w:pos="4535"/>
          <w:tab w:val="center" w:pos="7948"/>
        </w:tabs>
        <w:spacing w:after="5"/>
        <w:jc w:val="both"/>
        <w:rPr>
          <w:rFonts w:ascii="Calibri" w:hAnsi="Calibri"/>
        </w:rPr>
      </w:pPr>
      <w:r w:rsidRPr="00567AA0">
        <w:rPr>
          <w:rFonts w:ascii="Calibri" w:hAnsi="Calibri"/>
          <w:sz w:val="22"/>
        </w:rPr>
        <w:tab/>
      </w:r>
      <w:r w:rsidR="009D2249">
        <w:rPr>
          <w:rFonts w:ascii="Calibri" w:hAnsi="Calibri"/>
          <w:b/>
        </w:rPr>
        <w:t>2022</w:t>
      </w:r>
      <w:r>
        <w:rPr>
          <w:rFonts w:ascii="Calibri" w:hAnsi="Calibri"/>
          <w:b/>
        </w:rPr>
        <w:t>.</w:t>
      </w:r>
      <w:r w:rsidRPr="00567AA0">
        <w:rPr>
          <w:rFonts w:ascii="Calibri" w:hAnsi="Calibri"/>
        </w:rPr>
        <w:tab/>
        <w:t xml:space="preserve"> </w:t>
      </w:r>
    </w:p>
    <w:p w:rsidR="003E1CCF" w:rsidRDefault="003E1CCF" w:rsidP="00180518">
      <w:pPr>
        <w:spacing w:after="5"/>
        <w:ind w:left="1160" w:right="1205"/>
        <w:jc w:val="center"/>
        <w:rPr>
          <w:rFonts w:ascii="Calibri" w:hAnsi="Calibri"/>
          <w:b/>
        </w:rPr>
      </w:pPr>
    </w:p>
    <w:p w:rsidR="003E1CCF" w:rsidRDefault="003E1CCF" w:rsidP="00180518">
      <w:pPr>
        <w:spacing w:after="5"/>
        <w:ind w:left="1160" w:right="1205"/>
        <w:jc w:val="center"/>
        <w:rPr>
          <w:rFonts w:ascii="Calibri" w:hAnsi="Calibri"/>
          <w:b/>
        </w:rPr>
      </w:pPr>
    </w:p>
    <w:p w:rsidR="00180518" w:rsidRDefault="00180518" w:rsidP="00180518">
      <w:pPr>
        <w:spacing w:after="5"/>
        <w:ind w:left="1160" w:right="1205"/>
        <w:jc w:val="center"/>
        <w:rPr>
          <w:rFonts w:ascii="Calibri" w:hAnsi="Calibri"/>
          <w:b/>
        </w:rPr>
      </w:pPr>
      <w:r w:rsidRPr="00567AA0">
        <w:rPr>
          <w:rFonts w:ascii="Calibri" w:hAnsi="Calibri"/>
          <w:b/>
        </w:rPr>
        <w:lastRenderedPageBreak/>
        <w:t>I./</w:t>
      </w:r>
    </w:p>
    <w:p w:rsidR="009B2ECB" w:rsidRPr="00567AA0" w:rsidRDefault="009B2ECB" w:rsidP="00180518">
      <w:pPr>
        <w:spacing w:after="5"/>
        <w:ind w:left="1160" w:right="1205"/>
        <w:jc w:val="center"/>
        <w:rPr>
          <w:rFonts w:ascii="Calibri" w:hAnsi="Calibri"/>
        </w:rPr>
      </w:pPr>
    </w:p>
    <w:p w:rsidR="00180518" w:rsidRPr="00567AA0" w:rsidRDefault="00180518" w:rsidP="00180518">
      <w:pPr>
        <w:ind w:right="1932"/>
        <w:jc w:val="center"/>
        <w:rPr>
          <w:rFonts w:ascii="Calibri" w:hAnsi="Calibri"/>
        </w:rPr>
      </w:pPr>
      <w:r w:rsidRPr="00567AA0">
        <w:rPr>
          <w:rFonts w:ascii="Calibri" w:hAnsi="Calibri"/>
          <w:b/>
        </w:rPr>
        <w:t>AZ ELLENŐRZÉS SZERVEZÉSÉRE VONATKOZÓ ADATOK</w:t>
      </w:r>
    </w:p>
    <w:p w:rsidR="00180518" w:rsidRPr="00567AA0" w:rsidRDefault="00180518" w:rsidP="00180518">
      <w:pPr>
        <w:jc w:val="both"/>
        <w:rPr>
          <w:rFonts w:ascii="Calibri" w:hAnsi="Calibri"/>
        </w:rPr>
      </w:pPr>
      <w:r w:rsidRPr="00567AA0">
        <w:rPr>
          <w:rFonts w:ascii="Calibri" w:hAnsi="Calibri"/>
        </w:rPr>
        <w:t xml:space="preserve"> </w:t>
      </w:r>
    </w:p>
    <w:tbl>
      <w:tblPr>
        <w:tblW w:w="9214" w:type="dxa"/>
        <w:tblInd w:w="-71" w:type="dxa"/>
        <w:tblCellMar>
          <w:top w:w="53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3984"/>
        <w:gridCol w:w="2133"/>
        <w:gridCol w:w="650"/>
        <w:gridCol w:w="1377"/>
        <w:gridCol w:w="867"/>
        <w:gridCol w:w="203"/>
      </w:tblGrid>
      <w:tr w:rsidR="00180518" w:rsidRPr="00567AA0" w:rsidTr="00634511">
        <w:trPr>
          <w:trHeight w:val="565"/>
        </w:trPr>
        <w:tc>
          <w:tcPr>
            <w:tcW w:w="3984" w:type="dxa"/>
            <w:shd w:val="clear" w:color="auto" w:fill="auto"/>
            <w:vAlign w:val="center"/>
          </w:tcPr>
          <w:p w:rsidR="00180518" w:rsidRPr="00B254E6" w:rsidRDefault="00180518" w:rsidP="00250FD0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>Az ellenőrzést végző szervezet</w:t>
            </w:r>
            <w:r w:rsidRPr="00B254E6">
              <w:rPr>
                <w:rFonts w:ascii="Calibri" w:hAnsi="Calibri"/>
                <w:sz w:val="22"/>
                <w:szCs w:val="22"/>
              </w:rPr>
              <w:t>:</w:t>
            </w: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180518" w:rsidRPr="00567AA0" w:rsidRDefault="00697C71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Megbízott b</w:t>
            </w:r>
            <w:r w:rsidR="002E3539">
              <w:rPr>
                <w:rFonts w:ascii="Calibri" w:hAnsi="Calibri"/>
                <w:sz w:val="22"/>
                <w:szCs w:val="22"/>
              </w:rPr>
              <w:t>első ellenőr</w:t>
            </w:r>
          </w:p>
        </w:tc>
      </w:tr>
      <w:tr w:rsidR="00697C71" w:rsidRPr="00567AA0" w:rsidTr="00250FD0">
        <w:trPr>
          <w:trHeight w:val="829"/>
        </w:trPr>
        <w:tc>
          <w:tcPr>
            <w:tcW w:w="3984" w:type="dxa"/>
            <w:shd w:val="clear" w:color="auto" w:fill="auto"/>
            <w:vAlign w:val="center"/>
          </w:tcPr>
          <w:p w:rsidR="00697C71" w:rsidRPr="007F4315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7F4315">
              <w:rPr>
                <w:rFonts w:ascii="Calibri" w:hAnsi="Calibri"/>
                <w:b/>
                <w:sz w:val="22"/>
                <w:szCs w:val="22"/>
              </w:rPr>
              <w:t xml:space="preserve">A vizsgálat célja: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7F4315" w:rsidRDefault="00D8719A" w:rsidP="00697C71">
            <w:pPr>
              <w:rPr>
                <w:rFonts w:asciiTheme="minorHAnsi" w:eastAsia="PMingLiU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Tárgyi eszközök állománya, nyilvántartása</w:t>
            </w:r>
          </w:p>
        </w:tc>
      </w:tr>
      <w:tr w:rsidR="00697C71" w:rsidRPr="00567AA0" w:rsidTr="00634511">
        <w:trPr>
          <w:trHeight w:val="564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Ellenőrzött szervezet</w:t>
            </w: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567AA0" w:rsidRDefault="00A032AB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Harc</w:t>
            </w:r>
            <w:r w:rsidR="00697C71">
              <w:rPr>
                <w:rFonts w:ascii="Calibri" w:hAnsi="Calibri"/>
                <w:sz w:val="22"/>
                <w:szCs w:val="22"/>
              </w:rPr>
              <w:t xml:space="preserve"> Község Önkormányzat</w:t>
            </w:r>
            <w:r w:rsidR="00525CC2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697C71" w:rsidRPr="00567AA0" w:rsidTr="00634511">
        <w:trPr>
          <w:trHeight w:val="566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Az ellenőrzés típusa: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567AA0" w:rsidRDefault="0099241D" w:rsidP="0099241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719A">
              <w:rPr>
                <w:rFonts w:ascii="Calibri" w:hAnsi="Calibri"/>
                <w:sz w:val="22"/>
                <w:szCs w:val="22"/>
              </w:rPr>
              <w:t>S</w:t>
            </w:r>
            <w:r w:rsidR="00697C71">
              <w:rPr>
                <w:rFonts w:ascii="Calibri" w:hAnsi="Calibri"/>
                <w:sz w:val="22"/>
                <w:szCs w:val="22"/>
              </w:rPr>
              <w:t>zabályszerűségi ellenőrzés</w:t>
            </w:r>
          </w:p>
        </w:tc>
      </w:tr>
      <w:tr w:rsidR="00697C71" w:rsidRPr="00567AA0" w:rsidTr="00634511">
        <w:trPr>
          <w:trHeight w:val="889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Vonatkozó jogi háttér: </w:t>
            </w:r>
          </w:p>
        </w:tc>
        <w:tc>
          <w:tcPr>
            <w:tcW w:w="5230" w:type="dxa"/>
            <w:gridSpan w:val="5"/>
            <w:shd w:val="clear" w:color="auto" w:fill="auto"/>
          </w:tcPr>
          <w:p w:rsidR="00697C71" w:rsidRPr="00567AA0" w:rsidRDefault="00697C71" w:rsidP="00697C71">
            <w:pPr>
              <w:ind w:left="109" w:right="53"/>
              <w:jc w:val="both"/>
              <w:rPr>
                <w:rFonts w:ascii="Calibri" w:hAnsi="Calibri"/>
                <w:sz w:val="22"/>
                <w:szCs w:val="22"/>
              </w:rPr>
            </w:pPr>
            <w:r w:rsidRPr="00567AA0">
              <w:rPr>
                <w:rFonts w:ascii="Calibri" w:hAnsi="Calibri"/>
                <w:sz w:val="22"/>
                <w:szCs w:val="22"/>
              </w:rPr>
              <w:t xml:space="preserve">A költségvetési szervek belső kontrollrendszeréről és belső ellenőrzéséről szóló 370/2011. (XII. 31.) Korm. rendelet </w:t>
            </w:r>
          </w:p>
        </w:tc>
      </w:tr>
      <w:tr w:rsidR="00697C71" w:rsidRPr="00567AA0" w:rsidTr="00634511">
        <w:trPr>
          <w:trHeight w:val="595"/>
        </w:trPr>
        <w:tc>
          <w:tcPr>
            <w:tcW w:w="3984" w:type="dxa"/>
            <w:shd w:val="clear" w:color="auto" w:fill="auto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Alkalmazott ellenőrzési eszközök és módszertanok: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  <w:r w:rsidRPr="00567A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2AD7">
              <w:rPr>
                <w:rFonts w:asciiTheme="minorHAnsi" w:hAnsiTheme="minorHAnsi"/>
                <w:sz w:val="22"/>
                <w:szCs w:val="22"/>
              </w:rPr>
              <w:t>Helyszíni ellenőrzés, folyamatok és rendszerek működésének vizsgálata, közvetlen megfigyelésen alapuló felmérés, interjú. Mintavételen alapuló vizsgálat.</w:t>
            </w:r>
          </w:p>
        </w:tc>
      </w:tr>
      <w:tr w:rsidR="00697C71" w:rsidRPr="00567AA0" w:rsidTr="00634511">
        <w:trPr>
          <w:trHeight w:val="566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Ellenőrzött időszak: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  <w:r w:rsidRPr="00567A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719A">
              <w:rPr>
                <w:rFonts w:ascii="Calibri" w:hAnsi="Calibri"/>
                <w:sz w:val="22"/>
                <w:szCs w:val="22"/>
              </w:rPr>
              <w:t>2021</w:t>
            </w:r>
            <w:r>
              <w:rPr>
                <w:rFonts w:ascii="Calibri" w:hAnsi="Calibri"/>
                <w:sz w:val="22"/>
                <w:szCs w:val="22"/>
              </w:rPr>
              <w:t>. év</w:t>
            </w:r>
          </w:p>
        </w:tc>
      </w:tr>
      <w:tr w:rsidR="00697C71" w:rsidRPr="00567AA0" w:rsidTr="00634511">
        <w:trPr>
          <w:trHeight w:val="564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Ellenőrzés időtartama: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E56B72" w:rsidRDefault="00697C71" w:rsidP="00CC7530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  <w:r w:rsidRPr="00567A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719A" w:rsidRPr="00E56B72">
              <w:rPr>
                <w:rFonts w:eastAsia="PMingLiU" w:cstheme="minorHAnsi"/>
                <w:bCs/>
                <w:sz w:val="22"/>
                <w:szCs w:val="22"/>
              </w:rPr>
              <w:t>2022. november 3.– 2022.november 14</w:t>
            </w:r>
          </w:p>
        </w:tc>
      </w:tr>
      <w:tr w:rsidR="00697C71" w:rsidRPr="00567AA0" w:rsidTr="00634511">
        <w:trPr>
          <w:trHeight w:val="508"/>
        </w:trPr>
        <w:tc>
          <w:tcPr>
            <w:tcW w:w="3984" w:type="dxa"/>
            <w:shd w:val="clear" w:color="auto" w:fill="auto"/>
          </w:tcPr>
          <w:p w:rsidR="00697C71" w:rsidRPr="00B254E6" w:rsidRDefault="00697C71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Időigény (ellenőri munkanapok száma): 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697C71" w:rsidRPr="00567AA0" w:rsidRDefault="00A032AB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697C71">
              <w:rPr>
                <w:rFonts w:ascii="Calibri" w:hAnsi="Calibri"/>
                <w:sz w:val="22"/>
                <w:szCs w:val="22"/>
              </w:rPr>
              <w:t xml:space="preserve"> nap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auto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7C71" w:rsidRPr="00567AA0" w:rsidTr="00634511">
        <w:trPr>
          <w:trHeight w:val="516"/>
        </w:trPr>
        <w:tc>
          <w:tcPr>
            <w:tcW w:w="3984" w:type="dxa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Belső ellenőr</w:t>
            </w: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Balázsné Geier Klára                   </w:t>
            </w:r>
          </w:p>
        </w:tc>
      </w:tr>
      <w:tr w:rsidR="00697C71" w:rsidRPr="00567AA0" w:rsidTr="00634511">
        <w:trPr>
          <w:trHeight w:val="368"/>
        </w:trPr>
        <w:tc>
          <w:tcPr>
            <w:tcW w:w="3984" w:type="dxa"/>
            <w:vMerge w:val="restart"/>
            <w:shd w:val="clear" w:color="auto" w:fill="auto"/>
            <w:vAlign w:val="center"/>
          </w:tcPr>
          <w:p w:rsidR="00697C71" w:rsidRPr="00B254E6" w:rsidRDefault="00697C71" w:rsidP="00697C71">
            <w:pPr>
              <w:ind w:left="107" w:right="22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Az ellenőrzött időszakban hivatalban lévő vezetők:                 </w:t>
            </w:r>
            <w:r w:rsidRPr="00B254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54E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697C71" w:rsidRDefault="00754F34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Tóth Gábor</w:t>
            </w:r>
          </w:p>
        </w:tc>
        <w:tc>
          <w:tcPr>
            <w:tcW w:w="650" w:type="dxa"/>
            <w:shd w:val="clear" w:color="auto" w:fill="auto"/>
          </w:tcPr>
          <w:p w:rsidR="00697C71" w:rsidRPr="00567AA0" w:rsidRDefault="00697C71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697C71" w:rsidRPr="00567AA0" w:rsidRDefault="00697C71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polgármester</w:t>
            </w:r>
          </w:p>
        </w:tc>
      </w:tr>
      <w:tr w:rsidR="00697C71" w:rsidRPr="00567AA0" w:rsidTr="00634511">
        <w:trPr>
          <w:trHeight w:val="433"/>
        </w:trPr>
        <w:tc>
          <w:tcPr>
            <w:tcW w:w="0" w:type="auto"/>
            <w:vMerge/>
            <w:shd w:val="clear" w:color="auto" w:fill="auto"/>
          </w:tcPr>
          <w:p w:rsidR="00697C71" w:rsidRPr="00567AA0" w:rsidRDefault="00697C71" w:rsidP="00697C71">
            <w:pPr>
              <w:spacing w:after="1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0" w:type="dxa"/>
            <w:gridSpan w:val="5"/>
            <w:shd w:val="clear" w:color="auto" w:fill="auto"/>
          </w:tcPr>
          <w:p w:rsidR="00697C71" w:rsidRPr="00567AA0" w:rsidRDefault="00697C71" w:rsidP="00697C7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7A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988">
              <w:rPr>
                <w:rFonts w:ascii="Calibri" w:hAnsi="Calibri"/>
                <w:sz w:val="22"/>
                <w:szCs w:val="22"/>
              </w:rPr>
              <w:t xml:space="preserve"> Dr. </w:t>
            </w:r>
            <w:r w:rsidR="006B7988" w:rsidRPr="006B7988">
              <w:rPr>
                <w:rFonts w:ascii="Calibri" w:hAnsi="Calibri"/>
              </w:rPr>
              <w:t>Keresztes Izabella</w:t>
            </w:r>
            <w:r w:rsidR="00754F3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6B7988">
              <w:rPr>
                <w:rFonts w:ascii="Calibri" w:hAnsi="Calibri"/>
                <w:sz w:val="22"/>
                <w:szCs w:val="22"/>
              </w:rPr>
              <w:t>al</w:t>
            </w:r>
            <w:r>
              <w:rPr>
                <w:rFonts w:ascii="Calibri" w:hAnsi="Calibri"/>
                <w:sz w:val="22"/>
                <w:szCs w:val="22"/>
              </w:rPr>
              <w:t>jegyző</w:t>
            </w:r>
          </w:p>
        </w:tc>
      </w:tr>
    </w:tbl>
    <w:p w:rsidR="00180518" w:rsidRPr="00D91156" w:rsidRDefault="00180518" w:rsidP="00180518">
      <w:pPr>
        <w:jc w:val="both"/>
        <w:rPr>
          <w:rFonts w:ascii="Calibri" w:hAnsi="Calibri"/>
          <w:sz w:val="22"/>
          <w:szCs w:val="22"/>
        </w:rPr>
      </w:pPr>
    </w:p>
    <w:p w:rsidR="00D80575" w:rsidRPr="003E1CCF" w:rsidRDefault="00D80575" w:rsidP="003E1CC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91156">
        <w:rPr>
          <w:rFonts w:asciiTheme="minorHAnsi" w:hAnsiTheme="minorHAnsi"/>
          <w:b/>
          <w:sz w:val="22"/>
          <w:szCs w:val="22"/>
        </w:rPr>
        <w:t>Felhasznált törvények, rendeletek:</w:t>
      </w:r>
      <w:r w:rsidR="00B85A61" w:rsidRPr="00D91156">
        <w:rPr>
          <w:rFonts w:asciiTheme="minorHAnsi" w:hAnsiTheme="minorHAnsi"/>
          <w:b/>
          <w:sz w:val="22"/>
          <w:szCs w:val="22"/>
        </w:rPr>
        <w:t xml:space="preserve"> </w:t>
      </w:r>
      <w:r w:rsidR="00D91156">
        <w:rPr>
          <w:rFonts w:asciiTheme="minorHAnsi" w:hAnsiTheme="minorHAnsi"/>
          <w:b/>
          <w:sz w:val="22"/>
          <w:szCs w:val="22"/>
        </w:rPr>
        <w:t xml:space="preserve">             </w:t>
      </w:r>
    </w:p>
    <w:p w:rsidR="00D80575" w:rsidRPr="00157627" w:rsidRDefault="00D80575" w:rsidP="00A46A3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D15DD">
        <w:rPr>
          <w:rFonts w:asciiTheme="minorHAnsi" w:hAnsiTheme="minorHAnsi"/>
          <w:sz w:val="22"/>
          <w:szCs w:val="22"/>
        </w:rPr>
        <w:t>2011. évi CXCV. törvény az államháztartásról (Áht.)</w:t>
      </w:r>
    </w:p>
    <w:p w:rsidR="00F0477E" w:rsidRPr="00697C71" w:rsidRDefault="00AD15DD" w:rsidP="003E1CC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2011. évi CLXXXIX. törvény Magyarország helyi önkormányzatairól (Mötv.)</w:t>
      </w:r>
    </w:p>
    <w:p w:rsidR="00CA445A" w:rsidRPr="00697C71" w:rsidRDefault="00CA445A" w:rsidP="00CA445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83FA3">
        <w:rPr>
          <w:rFonts w:asciiTheme="minorHAnsi" w:hAnsiTheme="minorHAnsi"/>
          <w:sz w:val="22"/>
          <w:szCs w:val="22"/>
        </w:rPr>
        <w:t>2000. évi C. törvény a számvitelről (Szt</w:t>
      </w:r>
      <w:r>
        <w:rPr>
          <w:rFonts w:asciiTheme="minorHAnsi" w:hAnsiTheme="minorHAnsi"/>
          <w:sz w:val="22"/>
          <w:szCs w:val="22"/>
        </w:rPr>
        <w:t>v</w:t>
      </w:r>
      <w:r w:rsidRPr="00083FA3">
        <w:rPr>
          <w:rFonts w:asciiTheme="minorHAnsi" w:hAnsiTheme="minorHAnsi"/>
          <w:sz w:val="22"/>
          <w:szCs w:val="22"/>
        </w:rPr>
        <w:t>.)</w:t>
      </w:r>
    </w:p>
    <w:p w:rsidR="002F2E9F" w:rsidRPr="00AD15DD" w:rsidRDefault="002F2E9F" w:rsidP="002F2E9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D15DD">
        <w:rPr>
          <w:rFonts w:asciiTheme="minorHAnsi" w:hAnsiTheme="minorHAnsi"/>
          <w:sz w:val="22"/>
          <w:szCs w:val="22"/>
        </w:rPr>
        <w:t>368/2</w:t>
      </w:r>
      <w:r>
        <w:rPr>
          <w:rFonts w:asciiTheme="minorHAnsi" w:hAnsiTheme="minorHAnsi"/>
          <w:sz w:val="22"/>
          <w:szCs w:val="22"/>
        </w:rPr>
        <w:t xml:space="preserve">011. (XII.31) Kormányrendelet az </w:t>
      </w:r>
      <w:r w:rsidRPr="00AD15DD">
        <w:rPr>
          <w:rFonts w:asciiTheme="minorHAnsi" w:hAnsiTheme="minorHAnsi"/>
          <w:sz w:val="22"/>
          <w:szCs w:val="22"/>
        </w:rPr>
        <w:t>államháztartásról szóló törvény végrehajtásáról (Ávr.)</w:t>
      </w:r>
    </w:p>
    <w:p w:rsidR="00F0477E" w:rsidRPr="002F2E9F" w:rsidRDefault="002F2E9F" w:rsidP="002F2E9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D15DD">
        <w:rPr>
          <w:rFonts w:asciiTheme="minorHAnsi" w:hAnsiTheme="minorHAnsi"/>
          <w:sz w:val="22"/>
          <w:szCs w:val="22"/>
        </w:rPr>
        <w:t>4/2013. (I.11) Kormányrendelet az államháztartás számviteléről (Áhsz.)</w:t>
      </w:r>
    </w:p>
    <w:p w:rsidR="00D80575" w:rsidRPr="00AD15DD" w:rsidRDefault="00D80575" w:rsidP="00A46A3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  <w:sectPr w:rsidR="00D80575" w:rsidRPr="00AD15DD" w:rsidSect="009069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66" w:right="1362" w:bottom="1517" w:left="1419" w:header="708" w:footer="706" w:gutter="0"/>
          <w:cols w:space="708"/>
          <w:titlePg/>
          <w:docGrid w:linePitch="326"/>
        </w:sectPr>
      </w:pPr>
      <w:r w:rsidRPr="00AD15DD">
        <w:rPr>
          <w:rFonts w:asciiTheme="minorHAnsi" w:hAnsiTheme="minorHAnsi"/>
          <w:sz w:val="22"/>
          <w:szCs w:val="22"/>
        </w:rPr>
        <w:t>370/2011. (XII.31</w:t>
      </w:r>
      <w:r w:rsidR="00AD15DD">
        <w:rPr>
          <w:rFonts w:asciiTheme="minorHAnsi" w:hAnsiTheme="minorHAnsi"/>
          <w:sz w:val="22"/>
          <w:szCs w:val="22"/>
        </w:rPr>
        <w:t>.) Kormányrendelet a költségvetési</w:t>
      </w:r>
      <w:r w:rsidR="00D91156" w:rsidRPr="00AD15DD">
        <w:rPr>
          <w:rFonts w:asciiTheme="minorHAnsi" w:hAnsiTheme="minorHAnsi"/>
          <w:sz w:val="22"/>
          <w:szCs w:val="22"/>
        </w:rPr>
        <w:t xml:space="preserve"> </w:t>
      </w:r>
      <w:r w:rsidRPr="00AD15DD">
        <w:rPr>
          <w:rFonts w:asciiTheme="minorHAnsi" w:hAnsiTheme="minorHAnsi"/>
          <w:sz w:val="22"/>
          <w:szCs w:val="22"/>
        </w:rPr>
        <w:t>szervek belső kontrollrendszerérő</w:t>
      </w:r>
      <w:r w:rsidR="00634511" w:rsidRPr="00AD15DD">
        <w:rPr>
          <w:rFonts w:asciiTheme="minorHAnsi" w:hAnsiTheme="minorHAnsi"/>
          <w:sz w:val="22"/>
          <w:szCs w:val="22"/>
        </w:rPr>
        <w:t>l és belső ellenőrzéséről</w:t>
      </w:r>
      <w:r w:rsidR="00AD15DD">
        <w:rPr>
          <w:rFonts w:asciiTheme="minorHAnsi" w:hAnsiTheme="minorHAnsi"/>
          <w:sz w:val="22"/>
          <w:szCs w:val="22"/>
        </w:rPr>
        <w:t xml:space="preserve"> (Bkr.</w:t>
      </w:r>
      <w:r w:rsidR="00961A3F">
        <w:rPr>
          <w:rFonts w:asciiTheme="minorHAnsi" w:hAnsiTheme="minorHAnsi"/>
          <w:sz w:val="22"/>
          <w:szCs w:val="22"/>
        </w:rPr>
        <w:t>)</w:t>
      </w:r>
    </w:p>
    <w:p w:rsidR="000A26EE" w:rsidRPr="00E14F7F" w:rsidRDefault="00180518" w:rsidP="00E14F7F">
      <w:pPr>
        <w:spacing w:after="5"/>
        <w:ind w:right="1203"/>
        <w:jc w:val="center"/>
        <w:rPr>
          <w:rFonts w:ascii="Calibri" w:hAnsi="Calibri"/>
          <w:b/>
        </w:rPr>
      </w:pPr>
      <w:r w:rsidRPr="00567AA0">
        <w:rPr>
          <w:rFonts w:ascii="Calibri" w:hAnsi="Calibri"/>
          <w:b/>
        </w:rPr>
        <w:lastRenderedPageBreak/>
        <w:t>II./</w:t>
      </w:r>
    </w:p>
    <w:p w:rsidR="00180518" w:rsidRPr="00567AA0" w:rsidRDefault="00180518" w:rsidP="00180518">
      <w:pPr>
        <w:spacing w:after="5"/>
        <w:ind w:left="1160" w:right="1208"/>
        <w:jc w:val="center"/>
        <w:rPr>
          <w:rFonts w:ascii="Calibri" w:hAnsi="Calibri"/>
        </w:rPr>
      </w:pPr>
      <w:r w:rsidRPr="00567AA0">
        <w:rPr>
          <w:rFonts w:ascii="Calibri" w:hAnsi="Calibri"/>
          <w:b/>
        </w:rPr>
        <w:t>VEZETŐI ÖSSZEFOGLALÓ</w:t>
      </w:r>
    </w:p>
    <w:p w:rsidR="00180518" w:rsidRDefault="00180518" w:rsidP="00180518">
      <w:pPr>
        <w:jc w:val="both"/>
        <w:rPr>
          <w:rFonts w:ascii="Calibri" w:hAnsi="Calibri"/>
          <w:b/>
        </w:rPr>
      </w:pPr>
      <w:r w:rsidRPr="00567AA0">
        <w:rPr>
          <w:rFonts w:ascii="Calibri" w:hAnsi="Calibri"/>
          <w:b/>
        </w:rPr>
        <w:t xml:space="preserve"> </w:t>
      </w:r>
    </w:p>
    <w:p w:rsidR="003D7334" w:rsidRPr="00567AA0" w:rsidRDefault="003D7334" w:rsidP="00180518">
      <w:pPr>
        <w:jc w:val="both"/>
        <w:rPr>
          <w:rFonts w:ascii="Calibri" w:hAnsi="Calibri"/>
        </w:rPr>
      </w:pPr>
    </w:p>
    <w:p w:rsidR="002E3539" w:rsidRDefault="00180518" w:rsidP="002F2E9F">
      <w:pPr>
        <w:spacing w:line="360" w:lineRule="auto"/>
        <w:jc w:val="both"/>
        <w:rPr>
          <w:rFonts w:asciiTheme="minorHAnsi" w:hAnsiTheme="minorHAnsi"/>
        </w:rPr>
      </w:pPr>
      <w:r w:rsidRPr="00567AA0">
        <w:rPr>
          <w:rFonts w:ascii="Calibri" w:hAnsi="Calibri"/>
        </w:rPr>
        <w:t>A vizsgálat s</w:t>
      </w:r>
      <w:r w:rsidR="002E3539">
        <w:rPr>
          <w:rFonts w:ascii="Calibri" w:hAnsi="Calibri"/>
        </w:rPr>
        <w:t>orán</w:t>
      </w:r>
      <w:r w:rsidR="00177B6A">
        <w:rPr>
          <w:rFonts w:ascii="Calibri" w:hAnsi="Calibri"/>
        </w:rPr>
        <w:t xml:space="preserve"> a belső ellenőrzés felmérte és értékelte</w:t>
      </w:r>
      <w:r w:rsidR="00E56B72">
        <w:rPr>
          <w:rFonts w:ascii="Calibri" w:hAnsi="Calibri"/>
        </w:rPr>
        <w:t xml:space="preserve">, hogy </w:t>
      </w:r>
      <w:r w:rsidR="00C92575">
        <w:rPr>
          <w:rFonts w:ascii="Calibri" w:hAnsi="Calibri"/>
        </w:rPr>
        <w:t>a</w:t>
      </w:r>
      <w:r w:rsidR="002F2E9F" w:rsidRPr="002F2E9F">
        <w:rPr>
          <w:rFonts w:ascii="Calibri" w:hAnsi="Calibri"/>
        </w:rPr>
        <w:t xml:space="preserve"> </w:t>
      </w:r>
      <w:r w:rsidR="002F2E9F" w:rsidRPr="002021E1">
        <w:rPr>
          <w:rFonts w:ascii="Calibri" w:hAnsi="Calibri"/>
        </w:rPr>
        <w:t>tárgyi eszközök nyilvántartásának</w:t>
      </w:r>
      <w:r w:rsidR="002F2E9F">
        <w:rPr>
          <w:rFonts w:ascii="Calibri" w:hAnsi="Calibri"/>
        </w:rPr>
        <w:t>, elszámolásának</w:t>
      </w:r>
      <w:r w:rsidR="00E56B72">
        <w:rPr>
          <w:rFonts w:ascii="Calibri" w:hAnsi="Calibri"/>
        </w:rPr>
        <w:t xml:space="preserve"> összhangja</w:t>
      </w:r>
      <w:r w:rsidR="002F2E9F" w:rsidRPr="002021E1">
        <w:rPr>
          <w:rFonts w:ascii="Calibri" w:hAnsi="Calibri"/>
        </w:rPr>
        <w:t xml:space="preserve"> a jogszabályi előírásokkal, a belső szabályzatokk</w:t>
      </w:r>
      <w:r w:rsidR="002F2E9F">
        <w:rPr>
          <w:rFonts w:ascii="Calibri" w:hAnsi="Calibri"/>
        </w:rPr>
        <w:t xml:space="preserve">al megfelelő volt-e, </w:t>
      </w:r>
      <w:r w:rsidR="002F2E9F">
        <w:rPr>
          <w:rFonts w:asciiTheme="minorHAnsi" w:hAnsiTheme="minorHAnsi"/>
        </w:rPr>
        <w:t>e feladatellátással</w:t>
      </w:r>
      <w:r w:rsidR="002F2E9F" w:rsidRPr="00E2013E">
        <w:rPr>
          <w:rFonts w:asciiTheme="minorHAnsi" w:hAnsiTheme="minorHAnsi"/>
        </w:rPr>
        <w:t xml:space="preserve"> kapcsolatos belső kontrolltevéken</w:t>
      </w:r>
      <w:r w:rsidR="002F2E9F">
        <w:rPr>
          <w:rFonts w:asciiTheme="minorHAnsi" w:hAnsiTheme="minorHAnsi"/>
        </w:rPr>
        <w:t>ységek kialakítása, működtetése során</w:t>
      </w:r>
      <w:r w:rsidR="002F2E9F">
        <w:rPr>
          <w:rFonts w:asciiTheme="minorHAnsi" w:hAnsiTheme="minorHAnsi" w:cs="Arial"/>
          <w:bCs/>
        </w:rPr>
        <w:t xml:space="preserve"> eleget tettek-e</w:t>
      </w:r>
      <w:r w:rsidR="002F2E9F" w:rsidRPr="000F213E">
        <w:rPr>
          <w:rFonts w:asciiTheme="minorHAnsi" w:hAnsiTheme="minorHAnsi" w:cs="Arial"/>
          <w:bCs/>
        </w:rPr>
        <w:t xml:space="preserve"> a</w:t>
      </w:r>
      <w:r w:rsidR="002F2E9F" w:rsidRPr="00722D42">
        <w:rPr>
          <w:rFonts w:asciiTheme="minorHAnsi" w:hAnsiTheme="minorHAnsi" w:cs="Arial"/>
          <w:bCs/>
        </w:rPr>
        <w:t xml:space="preserve"> jogszabályokban és a vonatkozó útmutatókban meghatározott rendelkezéseknek</w:t>
      </w:r>
      <w:r w:rsidR="002F2E9F">
        <w:rPr>
          <w:rFonts w:asciiTheme="minorHAnsi" w:hAnsiTheme="minorHAnsi" w:cs="Arial"/>
          <w:bCs/>
        </w:rPr>
        <w:t>.</w:t>
      </w:r>
      <w:r w:rsidR="002F2E9F">
        <w:rPr>
          <w:rFonts w:asciiTheme="minorHAnsi" w:hAnsiTheme="minorHAnsi"/>
        </w:rPr>
        <w:t xml:space="preserve"> </w:t>
      </w:r>
    </w:p>
    <w:p w:rsidR="000E4A43" w:rsidRDefault="000E4A43" w:rsidP="00CC7530">
      <w:pPr>
        <w:spacing w:line="276" w:lineRule="auto"/>
        <w:jc w:val="both"/>
        <w:rPr>
          <w:rFonts w:asciiTheme="minorHAnsi" w:hAnsiTheme="minorHAnsi"/>
        </w:rPr>
      </w:pPr>
    </w:p>
    <w:p w:rsidR="008B3476" w:rsidRPr="00662FE6" w:rsidRDefault="008B3476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 xml:space="preserve">Az ellenőrzést a nemzetközi standardokat irányadónak tekintve a program ellenőrzési kérdései, az ellenőrzött időszakban hatályos jogszabályok, az ellenőrzés szakmai szabályok és módszertanok figyelembe vételével végeztem el. </w:t>
      </w:r>
    </w:p>
    <w:p w:rsidR="00BC2BFA" w:rsidRPr="00662FE6" w:rsidRDefault="00BC2BFA" w:rsidP="00662FE6">
      <w:pPr>
        <w:spacing w:line="360" w:lineRule="auto"/>
        <w:jc w:val="both"/>
        <w:rPr>
          <w:rFonts w:asciiTheme="minorHAnsi" w:hAnsiTheme="minorHAnsi" w:cstheme="minorHAnsi"/>
        </w:rPr>
      </w:pPr>
    </w:p>
    <w:p w:rsidR="008B3476" w:rsidRPr="00662FE6" w:rsidRDefault="008B3476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ellenőrzési kérdések megválaszolásához szükséges bizonyítékok megsz</w:t>
      </w:r>
      <w:r w:rsidR="00E24673" w:rsidRPr="00662FE6">
        <w:rPr>
          <w:rFonts w:asciiTheme="minorHAnsi" w:hAnsiTheme="minorHAnsi" w:cstheme="minorHAnsi"/>
        </w:rPr>
        <w:t xml:space="preserve">erzése a következő  ellenőrzési </w:t>
      </w:r>
      <w:r w:rsidRPr="00662FE6">
        <w:rPr>
          <w:rFonts w:asciiTheme="minorHAnsi" w:hAnsiTheme="minorHAnsi" w:cstheme="minorHAnsi"/>
        </w:rPr>
        <w:t xml:space="preserve">eljárások alkalmazásával történt: </w:t>
      </w:r>
      <w:r w:rsidR="000E4A43" w:rsidRPr="00662FE6">
        <w:rPr>
          <w:rFonts w:asciiTheme="minorHAnsi" w:hAnsiTheme="minorHAnsi" w:cstheme="minorHAnsi"/>
        </w:rPr>
        <w:t xml:space="preserve">helyszíni ellenőrzés, </w:t>
      </w:r>
      <w:r w:rsidRPr="00662FE6">
        <w:rPr>
          <w:rFonts w:asciiTheme="minorHAnsi" w:hAnsiTheme="minorHAnsi" w:cstheme="minorHAnsi"/>
        </w:rPr>
        <w:t>megfigyelés, szemle (szemrevételezés), kér</w:t>
      </w:r>
      <w:r w:rsidR="00A117A1" w:rsidRPr="00662FE6">
        <w:rPr>
          <w:rFonts w:asciiTheme="minorHAnsi" w:hAnsiTheme="minorHAnsi" w:cstheme="minorHAnsi"/>
        </w:rPr>
        <w:t>d</w:t>
      </w:r>
      <w:r w:rsidRPr="00662FE6">
        <w:rPr>
          <w:rFonts w:asciiTheme="minorHAnsi" w:hAnsiTheme="minorHAnsi" w:cstheme="minorHAnsi"/>
        </w:rPr>
        <w:t>ésfeltevés (információkérés), mintav</w:t>
      </w:r>
      <w:r w:rsidR="0025071C" w:rsidRPr="00662FE6">
        <w:rPr>
          <w:rFonts w:asciiTheme="minorHAnsi" w:hAnsiTheme="minorHAnsi" w:cstheme="minorHAnsi"/>
        </w:rPr>
        <w:t>ételezés</w:t>
      </w:r>
      <w:r w:rsidRPr="00662FE6">
        <w:rPr>
          <w:rFonts w:asciiTheme="minorHAnsi" w:hAnsiTheme="minorHAnsi" w:cstheme="minorHAnsi"/>
        </w:rPr>
        <w:t>.</w:t>
      </w:r>
    </w:p>
    <w:p w:rsidR="00BC2BFA" w:rsidRPr="00662FE6" w:rsidRDefault="00BC2BFA" w:rsidP="00662FE6">
      <w:pPr>
        <w:spacing w:line="360" w:lineRule="auto"/>
        <w:jc w:val="both"/>
        <w:rPr>
          <w:rFonts w:asciiTheme="minorHAnsi" w:hAnsiTheme="minorHAnsi" w:cstheme="minorHAnsi"/>
        </w:rPr>
      </w:pPr>
    </w:p>
    <w:p w:rsidR="00E2013E" w:rsidRPr="00662FE6" w:rsidRDefault="008B3476" w:rsidP="00662FE6">
      <w:pPr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Meg vagyo</w:t>
      </w:r>
      <w:r w:rsidR="00180518" w:rsidRPr="00662FE6">
        <w:rPr>
          <w:rFonts w:asciiTheme="minorHAnsi" w:hAnsiTheme="minorHAnsi" w:cstheme="minorHAnsi"/>
        </w:rPr>
        <w:t>k győződve arról, hogy az elvégzett munka elégséges volt ahhoz, hogy meg</w:t>
      </w:r>
      <w:r w:rsidRPr="00662FE6">
        <w:rPr>
          <w:rFonts w:asciiTheme="minorHAnsi" w:hAnsiTheme="minorHAnsi" w:cstheme="minorHAnsi"/>
        </w:rPr>
        <w:t>alapozott véleményt formálhassa</w:t>
      </w:r>
      <w:r w:rsidR="00180518" w:rsidRPr="00662FE6">
        <w:rPr>
          <w:rFonts w:asciiTheme="minorHAnsi" w:hAnsiTheme="minorHAnsi" w:cstheme="minorHAnsi"/>
        </w:rPr>
        <w:t xml:space="preserve">k. </w:t>
      </w:r>
    </w:p>
    <w:p w:rsidR="00180518" w:rsidRPr="00662FE6" w:rsidRDefault="00180518" w:rsidP="00662FE6">
      <w:pPr>
        <w:spacing w:line="360" w:lineRule="auto"/>
        <w:ind w:left="-5" w:right="6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 xml:space="preserve">A megállapítások és a javaslatok részletes leírása az ellenőrzési jelentés további részében található.  </w:t>
      </w:r>
    </w:p>
    <w:p w:rsidR="00180518" w:rsidRPr="00662FE6" w:rsidRDefault="00180518" w:rsidP="00662FE6">
      <w:pPr>
        <w:spacing w:after="34" w:line="360" w:lineRule="auto"/>
        <w:ind w:left="-5" w:right="6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ellenőrzési jelentés</w:t>
      </w:r>
      <w:r w:rsidR="00090A8B" w:rsidRPr="00662FE6">
        <w:rPr>
          <w:rFonts w:asciiTheme="minorHAnsi" w:hAnsiTheme="minorHAnsi" w:cstheme="minorHAnsi"/>
        </w:rPr>
        <w:t>-tervezetet</w:t>
      </w:r>
      <w:r w:rsidRPr="00662FE6">
        <w:rPr>
          <w:rFonts w:asciiTheme="minorHAnsi" w:hAnsiTheme="minorHAnsi" w:cstheme="minorHAnsi"/>
        </w:rPr>
        <w:t xml:space="preserve"> az ellenőrzött </w:t>
      </w:r>
      <w:r w:rsidR="00177B6A" w:rsidRPr="00662FE6">
        <w:rPr>
          <w:rFonts w:asciiTheme="minorHAnsi" w:hAnsiTheme="minorHAnsi" w:cstheme="minorHAnsi"/>
        </w:rPr>
        <w:t>területek vezetőivel egyeztettem</w:t>
      </w:r>
      <w:r w:rsidRPr="00662FE6">
        <w:rPr>
          <w:rFonts w:asciiTheme="minorHAnsi" w:hAnsiTheme="minorHAnsi" w:cstheme="minorHAnsi"/>
        </w:rPr>
        <w:t xml:space="preserve">. </w:t>
      </w:r>
    </w:p>
    <w:p w:rsidR="00BC2BFA" w:rsidRPr="00662FE6" w:rsidRDefault="00BC2BFA" w:rsidP="00662FE6">
      <w:pPr>
        <w:spacing w:after="34" w:line="360" w:lineRule="auto"/>
        <w:ind w:left="-5" w:right="6"/>
        <w:jc w:val="both"/>
        <w:rPr>
          <w:rFonts w:asciiTheme="minorHAnsi" w:hAnsiTheme="minorHAnsi" w:cstheme="minorHAnsi"/>
        </w:rPr>
      </w:pPr>
    </w:p>
    <w:p w:rsidR="00C92575" w:rsidRPr="00662FE6" w:rsidRDefault="00177B6A" w:rsidP="00662FE6">
      <w:pPr>
        <w:spacing w:line="360" w:lineRule="auto"/>
        <w:ind w:left="-5" w:right="6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  <w:b/>
        </w:rPr>
        <w:t xml:space="preserve">A belső ellenőrzés az </w:t>
      </w:r>
      <w:r w:rsidR="00180518" w:rsidRPr="00662FE6">
        <w:rPr>
          <w:rFonts w:asciiTheme="minorHAnsi" w:hAnsiTheme="minorHAnsi" w:cstheme="minorHAnsi"/>
          <w:b/>
        </w:rPr>
        <w:t>ellenőrzé</w:t>
      </w:r>
      <w:r w:rsidRPr="00662FE6">
        <w:rPr>
          <w:rFonts w:asciiTheme="minorHAnsi" w:hAnsiTheme="minorHAnsi" w:cstheme="minorHAnsi"/>
          <w:b/>
        </w:rPr>
        <w:t>s nyomán kialakított véleménye</w:t>
      </w:r>
      <w:r w:rsidR="00180518" w:rsidRPr="00662FE6">
        <w:rPr>
          <w:rFonts w:asciiTheme="minorHAnsi" w:hAnsiTheme="minorHAnsi" w:cstheme="minorHAnsi"/>
          <w:b/>
        </w:rPr>
        <w:t xml:space="preserve"> a vizsgált területről, ille</w:t>
      </w:r>
      <w:r w:rsidR="006F3857" w:rsidRPr="00662FE6">
        <w:rPr>
          <w:rFonts w:asciiTheme="minorHAnsi" w:hAnsiTheme="minorHAnsi" w:cstheme="minorHAnsi"/>
          <w:b/>
        </w:rPr>
        <w:t>tve fol</w:t>
      </w:r>
      <w:r w:rsidR="000600BC" w:rsidRPr="00662FE6">
        <w:rPr>
          <w:rFonts w:asciiTheme="minorHAnsi" w:hAnsiTheme="minorHAnsi" w:cstheme="minorHAnsi"/>
          <w:b/>
        </w:rPr>
        <w:t>yamatokról összességében „megfelelő</w:t>
      </w:r>
      <w:r w:rsidR="006F3857" w:rsidRPr="00662FE6">
        <w:rPr>
          <w:rFonts w:asciiTheme="minorHAnsi" w:hAnsiTheme="minorHAnsi" w:cstheme="minorHAnsi"/>
          <w:b/>
        </w:rPr>
        <w:t>”</w:t>
      </w:r>
      <w:r w:rsidR="004816EB" w:rsidRPr="00662FE6">
        <w:rPr>
          <w:rFonts w:asciiTheme="minorHAnsi" w:hAnsiTheme="minorHAnsi" w:cstheme="minorHAnsi"/>
          <w:b/>
        </w:rPr>
        <w:t>.</w:t>
      </w:r>
      <w:r w:rsidR="002E3539" w:rsidRPr="00662FE6">
        <w:rPr>
          <w:rFonts w:asciiTheme="minorHAnsi" w:hAnsiTheme="minorHAnsi" w:cstheme="minorHAnsi"/>
        </w:rPr>
        <w:t xml:space="preserve"> </w:t>
      </w:r>
      <w:r w:rsidR="00C92575" w:rsidRPr="00662FE6">
        <w:rPr>
          <w:rFonts w:asciiTheme="minorHAnsi" w:hAnsiTheme="minorHAnsi" w:cstheme="minorHAnsi"/>
        </w:rPr>
        <w:t xml:space="preserve">Az ellenőrzési jelentésben közölt megállapítások nem utalnak alapvető gyenge pontokra a szervezeti egységek szintjén alkalmazott irányelvekben és eljárásokban. </w:t>
      </w:r>
    </w:p>
    <w:p w:rsidR="00BC2BFA" w:rsidRPr="00662FE6" w:rsidRDefault="00BC2BFA" w:rsidP="00662FE6">
      <w:pPr>
        <w:spacing w:line="360" w:lineRule="auto"/>
        <w:ind w:right="6"/>
        <w:jc w:val="both"/>
        <w:rPr>
          <w:rFonts w:asciiTheme="minorHAnsi" w:hAnsiTheme="minorHAnsi" w:cstheme="minorHAnsi"/>
        </w:rPr>
      </w:pPr>
    </w:p>
    <w:p w:rsidR="00BC2BFA" w:rsidRDefault="00BC2BFA" w:rsidP="00662FE6">
      <w:pPr>
        <w:spacing w:line="360" w:lineRule="auto"/>
        <w:ind w:left="-5" w:right="6"/>
        <w:jc w:val="both"/>
        <w:rPr>
          <w:rFonts w:asciiTheme="minorHAnsi" w:hAnsiTheme="minorHAnsi" w:cstheme="minorHAnsi"/>
        </w:rPr>
      </w:pPr>
    </w:p>
    <w:p w:rsidR="00662FE6" w:rsidRPr="00662FE6" w:rsidRDefault="00662FE6" w:rsidP="00662FE6">
      <w:pPr>
        <w:spacing w:line="360" w:lineRule="auto"/>
        <w:ind w:left="-5" w:right="6"/>
        <w:jc w:val="both"/>
        <w:rPr>
          <w:rFonts w:asciiTheme="minorHAnsi" w:hAnsiTheme="minorHAnsi" w:cstheme="minorHAnsi"/>
        </w:rPr>
      </w:pPr>
    </w:p>
    <w:p w:rsidR="00BC2BFA" w:rsidRPr="00662FE6" w:rsidRDefault="00BC2BFA" w:rsidP="00662FE6">
      <w:pPr>
        <w:spacing w:line="360" w:lineRule="auto"/>
        <w:ind w:left="-5" w:right="6"/>
        <w:jc w:val="both"/>
        <w:rPr>
          <w:rFonts w:asciiTheme="minorHAnsi" w:hAnsiTheme="minorHAnsi" w:cstheme="minorHAnsi"/>
        </w:rPr>
      </w:pPr>
    </w:p>
    <w:p w:rsidR="00180518" w:rsidRPr="00662FE6" w:rsidRDefault="00180518" w:rsidP="00662FE6">
      <w:pPr>
        <w:spacing w:after="5" w:line="360" w:lineRule="auto"/>
        <w:ind w:left="1160" w:right="1128"/>
        <w:jc w:val="center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  <w:b/>
        </w:rPr>
        <w:lastRenderedPageBreak/>
        <w:t>III.</w:t>
      </w:r>
    </w:p>
    <w:p w:rsidR="00180518" w:rsidRPr="00662FE6" w:rsidRDefault="00180518" w:rsidP="00662FE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2FE6">
        <w:rPr>
          <w:rFonts w:asciiTheme="minorHAnsi" w:hAnsiTheme="minorHAnsi" w:cstheme="minorHAnsi"/>
          <w:b/>
        </w:rPr>
        <w:t>FŐBB MEGÁLLAPÍTÁSOK ÉS JAVASLATOK</w:t>
      </w:r>
    </w:p>
    <w:p w:rsidR="00EF12CB" w:rsidRPr="00662FE6" w:rsidRDefault="00EF12CB" w:rsidP="00662FE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E6945" w:rsidRPr="00662FE6" w:rsidRDefault="00764569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 xml:space="preserve">Az Önkormányzatnál </w:t>
      </w:r>
      <w:r w:rsidR="00662FE6" w:rsidRPr="00662FE6">
        <w:rPr>
          <w:rFonts w:asciiTheme="minorHAnsi" w:hAnsiTheme="minorHAnsi" w:cstheme="minorHAnsi"/>
        </w:rPr>
        <w:t>a</w:t>
      </w:r>
      <w:r w:rsidR="002E6945" w:rsidRPr="00662FE6">
        <w:rPr>
          <w:rFonts w:asciiTheme="minorHAnsi" w:hAnsiTheme="minorHAnsi" w:cstheme="minorHAnsi"/>
        </w:rPr>
        <w:t>z ellenőrzés keretében felülvizsgálatra kerültek</w:t>
      </w:r>
      <w:r w:rsidR="002E6945" w:rsidRPr="00662FE6">
        <w:rPr>
          <w:rFonts w:asciiTheme="minorHAnsi" w:hAnsiTheme="minorHAnsi" w:cstheme="minorHAnsi"/>
          <w:color w:val="000000"/>
        </w:rPr>
        <w:t xml:space="preserve"> </w:t>
      </w:r>
      <w:r w:rsidR="00662FE6" w:rsidRPr="00662FE6">
        <w:rPr>
          <w:rFonts w:asciiTheme="minorHAnsi" w:hAnsiTheme="minorHAnsi" w:cstheme="minorHAnsi"/>
        </w:rPr>
        <w:t>a</w:t>
      </w:r>
      <w:r w:rsidR="002E6945" w:rsidRPr="00662FE6">
        <w:rPr>
          <w:rFonts w:asciiTheme="minorHAnsi" w:hAnsiTheme="minorHAnsi" w:cstheme="minorHAnsi"/>
        </w:rPr>
        <w:t xml:space="preserve"> tárgyi eszköz gazdálkodáshoz kapcsolódó belső szabályzatok, amelyek megfeleltek a jogszabályi </w:t>
      </w:r>
      <w:r w:rsidR="00662FE6" w:rsidRPr="00662FE6">
        <w:rPr>
          <w:rFonts w:asciiTheme="minorHAnsi" w:hAnsiTheme="minorHAnsi" w:cstheme="minorHAnsi"/>
        </w:rPr>
        <w:t xml:space="preserve">előírásoknak. </w:t>
      </w:r>
      <w:r w:rsidR="00E56B72">
        <w:rPr>
          <w:rFonts w:asciiTheme="minorHAnsi" w:hAnsiTheme="minorHAnsi" w:cstheme="minorHAnsi"/>
        </w:rPr>
        <w:t>R</w:t>
      </w:r>
      <w:r w:rsidR="00662FE6" w:rsidRPr="00662FE6">
        <w:rPr>
          <w:rFonts w:asciiTheme="minorHAnsi" w:hAnsiTheme="minorHAnsi" w:cstheme="minorHAnsi"/>
        </w:rPr>
        <w:t>endelkeztek</w:t>
      </w:r>
      <w:r w:rsidR="002E6945" w:rsidRPr="00662FE6">
        <w:rPr>
          <w:rFonts w:asciiTheme="minorHAnsi" w:hAnsiTheme="minorHAnsi" w:cstheme="minorHAnsi"/>
        </w:rPr>
        <w:t xml:space="preserve"> a kontrollrendszer működése érdekében a szükséges szabályozással</w:t>
      </w:r>
      <w:r w:rsidR="00662FE6" w:rsidRPr="00662FE6">
        <w:rPr>
          <w:rFonts w:asciiTheme="minorHAnsi" w:hAnsiTheme="minorHAnsi" w:cstheme="minorHAnsi"/>
        </w:rPr>
        <w:t>, azonban</w:t>
      </w:r>
      <w:r w:rsidR="00D31173">
        <w:rPr>
          <w:rFonts w:asciiTheme="minorHAnsi" w:hAnsiTheme="minorHAnsi" w:cstheme="minorHAnsi"/>
        </w:rPr>
        <w:t xml:space="preserve"> kockázatelemzést, kockázatértékelést nem végeztek a vizsgált folyamatokkal kapcsolatosan.</w:t>
      </w:r>
    </w:p>
    <w:p w:rsidR="002E6945" w:rsidRDefault="002E6945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Javaslatok:</w:t>
      </w:r>
    </w:p>
    <w:p w:rsidR="00FE2B95" w:rsidRPr="00E71053" w:rsidRDefault="00E21D15" w:rsidP="00662FE6">
      <w:pPr>
        <w:pStyle w:val="Listaszerbekezds"/>
        <w:numPr>
          <w:ilvl w:val="0"/>
          <w:numId w:val="25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Szükséges a kockázatkezelési rendszer kialakítása és működtetése.</w:t>
      </w:r>
    </w:p>
    <w:p w:rsidR="00CC7530" w:rsidRPr="00662FE6" w:rsidRDefault="00CC7530" w:rsidP="00662FE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A26EE" w:rsidRPr="00662FE6" w:rsidRDefault="00180518" w:rsidP="00662FE6">
      <w:pPr>
        <w:spacing w:after="5" w:line="360" w:lineRule="auto"/>
        <w:ind w:left="1160" w:right="1151"/>
        <w:jc w:val="center"/>
        <w:rPr>
          <w:rFonts w:asciiTheme="minorHAnsi" w:hAnsiTheme="minorHAnsi" w:cstheme="minorHAnsi"/>
          <w:b/>
        </w:rPr>
      </w:pPr>
      <w:r w:rsidRPr="00662FE6">
        <w:rPr>
          <w:rFonts w:asciiTheme="minorHAnsi" w:hAnsiTheme="minorHAnsi" w:cstheme="minorHAnsi"/>
          <w:b/>
        </w:rPr>
        <w:t>IV.</w:t>
      </w:r>
    </w:p>
    <w:p w:rsidR="00895D97" w:rsidRPr="00662FE6" w:rsidRDefault="00AC50D3" w:rsidP="00662FE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2FE6">
        <w:rPr>
          <w:rFonts w:asciiTheme="minorHAnsi" w:hAnsiTheme="minorHAnsi" w:cstheme="minorHAnsi"/>
          <w:b/>
        </w:rPr>
        <w:t>RÉSZLETES MEGÁLLAPÍTÁSOK</w:t>
      </w:r>
    </w:p>
    <w:p w:rsidR="007F4315" w:rsidRPr="00662FE6" w:rsidRDefault="007F4315" w:rsidP="00662FE6">
      <w:pPr>
        <w:spacing w:line="360" w:lineRule="auto"/>
        <w:rPr>
          <w:rFonts w:asciiTheme="minorHAnsi" w:hAnsiTheme="minorHAnsi" w:cstheme="minorHAnsi"/>
        </w:rPr>
      </w:pPr>
    </w:p>
    <w:p w:rsidR="006B7988" w:rsidRPr="00662FE6" w:rsidRDefault="006B7988" w:rsidP="00662FE6">
      <w:pPr>
        <w:pStyle w:val="Listaszerbekezds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662FE6">
        <w:rPr>
          <w:rFonts w:asciiTheme="minorHAnsi" w:hAnsiTheme="minorHAnsi" w:cstheme="minorHAnsi"/>
          <w:b/>
        </w:rPr>
        <w:t>A tárgyi eszközökkel, nyilvántartásukkal és elszámolásukkal kapcsolatos szabályozás</w:t>
      </w:r>
    </w:p>
    <w:p w:rsidR="00697C71" w:rsidRPr="00662FE6" w:rsidRDefault="00697C71" w:rsidP="00662FE6">
      <w:pPr>
        <w:spacing w:line="360" w:lineRule="auto"/>
        <w:rPr>
          <w:rFonts w:asciiTheme="minorHAnsi" w:hAnsiTheme="minorHAnsi" w:cstheme="minorHAnsi"/>
          <w:b/>
        </w:rPr>
      </w:pPr>
    </w:p>
    <w:p w:rsidR="001C48B8" w:rsidRPr="00662FE6" w:rsidRDefault="001C48B8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Ávr. 13. § (2) bekezdése alapján a költségvetési szerv vezetőjének belső szabályzatban kell rendeznie a működéséhez kapcsolódó, pénzügyi kihatással bíró, jogszabályban nem szabályozott kérdéseket, így különösen: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tervezéssel, gazdálkodással – így különösen a kötelezettségvállalás, ellenjegyzés, teljesítés igazolása, érvényesítés, utalványozás gyakorlásának módjával, eljárási és dokumentációs részletszabályaival, valamint az ezeket végző személyek kijelölésének rendjével –, az ellenőrzési adatszolgáltatási és beszámolási feladatok teljesítésével kapcsolatos belső előírásokat, feltételeket,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beszerzések lebonyolításával kapcsolatos eljárásrendet,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belföldi és külföldi kiküldetések elrendelésével és lebonyolításával, elszámolásával kapcsolatos kérdéseket,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anyag- és eszközgazdálkodás számviteli politikában nem szabályozott kérdéseit,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reprezentációs kiadások felosztását, azok teljesítésének és elszámolásának szabályait,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lastRenderedPageBreak/>
        <w:t>a gépjárművek igénybevételének és használatának rendjét,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vezetékes és rádiótelefonok használatát, és</w:t>
      </w:r>
    </w:p>
    <w:p w:rsidR="001C48B8" w:rsidRPr="00662FE6" w:rsidRDefault="001C48B8" w:rsidP="00662FE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közérdekű adatok megismerésére irányuló kérelmek intézésének, továbbá a kötelezően közzéteendő adatok nyilvánosságra hozatalának rendjét.</w:t>
      </w:r>
    </w:p>
    <w:p w:rsidR="00662FE6" w:rsidRDefault="00662FE6" w:rsidP="00662FE6">
      <w:p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</w:p>
    <w:p w:rsidR="001C48B8" w:rsidRPr="00662FE6" w:rsidRDefault="001C48B8" w:rsidP="00662FE6">
      <w:pPr>
        <w:autoSpaceDE w:val="0"/>
        <w:autoSpaceDN w:val="0"/>
        <w:adjustRightInd w:val="0"/>
        <w:spacing w:after="20"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Áhsz.</w:t>
      </w:r>
      <w:r w:rsidRPr="00662FE6">
        <w:rPr>
          <w:rFonts w:asciiTheme="minorHAnsi" w:hAnsiTheme="minorHAnsi" w:cstheme="minorHAnsi"/>
          <w:bCs/>
        </w:rPr>
        <w:t xml:space="preserve"> 50. §</w:t>
      </w:r>
      <w:r w:rsidRPr="00662FE6">
        <w:rPr>
          <w:rFonts w:asciiTheme="minorHAnsi" w:hAnsiTheme="minorHAnsi" w:cstheme="minorHAnsi"/>
        </w:rPr>
        <w:t xml:space="preserve"> (1) bekezdése előírja, hogy a költségvetési és a pénzügyi számvitel alkalmazásával kapcsolatos sajátos szabályokat, előírásokat, módszereket a számviteli politikában kell rögzíteni. A számviteli politika az számvitelről szóló 2000. évi C. törvény (továbbiakban: Sztv.)  14. § (5) bekezdése szerinti szabályzatokból és a (7) bekezdés szerint szabályozandó más kérdéseket rögzítő dokumentumból áll. A számviteli politika keretében szükséges elkészíteni:</w:t>
      </w:r>
    </w:p>
    <w:p w:rsidR="001C48B8" w:rsidRPr="00662FE6" w:rsidRDefault="001C48B8" w:rsidP="00662FE6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eszközök és a források leltárkészítési és leltározási szabályzatát;</w:t>
      </w:r>
    </w:p>
    <w:p w:rsidR="001C48B8" w:rsidRPr="00662FE6" w:rsidRDefault="001C48B8" w:rsidP="00662FE6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felesleges vagyontárgyak hasznosításának, selejtezésének szabályzatát;</w:t>
      </w:r>
    </w:p>
    <w:p w:rsidR="001C48B8" w:rsidRPr="00662FE6" w:rsidRDefault="001C48B8" w:rsidP="00662FE6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eszközök és a források értékelési szabályzatát;</w:t>
      </w:r>
    </w:p>
    <w:p w:rsidR="001C48B8" w:rsidRPr="00662FE6" w:rsidRDefault="001C48B8" w:rsidP="00662FE6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pénzkezelési szabályzatot.</w:t>
      </w:r>
    </w:p>
    <w:p w:rsidR="001C48B8" w:rsidRPr="00662FE6" w:rsidRDefault="001C48B8" w:rsidP="00662FE6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1C48B8" w:rsidRPr="00662FE6" w:rsidRDefault="001C48B8" w:rsidP="00662FE6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Önkormányzat rendelkezett az Sztv. 14. § (3)-(5) bekezdéseiben és a 161. § (1)-(2) bekezdéseiben előírt számviteli szabályzatok közül valamennyi szabályzattal. A gyakorlati munkavégzés a számviteli politikához kapcsolódó egyes tevékenységek rés</w:t>
      </w:r>
      <w:r w:rsidR="00662FE6" w:rsidRPr="00662FE6">
        <w:rPr>
          <w:rFonts w:asciiTheme="minorHAnsi" w:hAnsiTheme="minorHAnsi" w:cstheme="minorHAnsi"/>
        </w:rPr>
        <w:t>zletes előírásai alapján történt</w:t>
      </w:r>
      <w:r w:rsidRPr="00662FE6">
        <w:rPr>
          <w:rFonts w:asciiTheme="minorHAnsi" w:hAnsiTheme="minorHAnsi" w:cstheme="minorHAnsi"/>
        </w:rPr>
        <w:t>ek.</w:t>
      </w:r>
    </w:p>
    <w:p w:rsidR="001C48B8" w:rsidRPr="00662FE6" w:rsidRDefault="001C48B8" w:rsidP="00662FE6">
      <w:pPr>
        <w:spacing w:line="360" w:lineRule="auto"/>
        <w:jc w:val="both"/>
        <w:rPr>
          <w:rFonts w:asciiTheme="minorHAnsi" w:hAnsiTheme="minorHAnsi" w:cstheme="minorHAnsi"/>
        </w:rPr>
      </w:pPr>
    </w:p>
    <w:p w:rsidR="001C48B8" w:rsidRPr="00662FE6" w:rsidRDefault="001C48B8" w:rsidP="00E71053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 xml:space="preserve">Az Áhsz. </w:t>
      </w:r>
      <w:r w:rsidRPr="00662FE6">
        <w:rPr>
          <w:rFonts w:asciiTheme="minorHAnsi" w:hAnsiTheme="minorHAnsi" w:cstheme="minorHAnsi"/>
          <w:bCs/>
        </w:rPr>
        <w:t>51. §</w:t>
      </w:r>
      <w:r w:rsidRPr="00662FE6">
        <w:rPr>
          <w:rFonts w:asciiTheme="minorHAnsi" w:hAnsiTheme="minorHAnsi" w:cstheme="minorHAnsi"/>
        </w:rPr>
        <w:t>-ában foglaltaknak megfelelően az egységes számlakeret alapján elkészítették a számlarendet. Az Szt. 161. § (1) – (2) bekezdéseiben előírt tartalommal a számlarendben szabályozták a részletező nyilvántartások vezetésének módját, azoknak a kapcsolódó könyvviteli és nyilvántartási számlákkal való egyeztetését, annak dokumentálását, valamint a részletező nyilvántartások és az egységes rovatrend rovataihoz kapcsolódóan vezetett nyilvántartási számlák adataiból a pénzügyi könyvvezetéshez készült összesítő bizonylatok (feladások) elkészítésének rendjét, az összesítő bizonylat tartalmi és formai követelményeit.</w:t>
      </w:r>
    </w:p>
    <w:p w:rsidR="00C1606A" w:rsidRPr="00662FE6" w:rsidRDefault="001C48B8" w:rsidP="00662FE6">
      <w:pPr>
        <w:spacing w:after="16" w:line="360" w:lineRule="auto"/>
        <w:ind w:left="14" w:right="245" w:firstLine="4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eszközök és források leltározási és leltárkészítési szabályzat</w:t>
      </w:r>
      <w:r w:rsidR="00C1606A" w:rsidRPr="00662FE6">
        <w:rPr>
          <w:rFonts w:asciiTheme="minorHAnsi" w:hAnsiTheme="minorHAnsi" w:cstheme="minorHAnsi"/>
        </w:rPr>
        <w:t xml:space="preserve">a meghatározza, hogy az államháztartási számvitelről szóló 4/2016. (I. 11.) Korm. rendelet (a továbbiakban: Áhsz.) </w:t>
      </w:r>
      <w:r w:rsidR="00C1606A" w:rsidRPr="00662FE6">
        <w:rPr>
          <w:rFonts w:asciiTheme="minorHAnsi" w:hAnsiTheme="minorHAnsi" w:cstheme="minorHAnsi"/>
        </w:rPr>
        <w:lastRenderedPageBreak/>
        <w:t>22. S (1) bekezdése alapján az éves beszámoló elkészítéséhez, a mérleg tételeinek alátámasztásához olyan leltárt kell összeállítani és megőrizni, amely tételesen, ellenőrizhető módon tartalmazza a mérlegben szereplő eszközöket és forrásokat. A leltározás célja az önkormányzat vagyonának mennyiségben és értékben történő számbavétele. A szabályzat pontos útmutatást ad a leltárral szemben támasztott tartalmi és alaki követelményekről, a leltározás módjáról, módszeréről, a leltározásban közreműködők feladatairól, felelősségeiről, a tárgyi és személyi feltételek biztosításáról, a leltározás végrehajtásáról, ille</w:t>
      </w:r>
      <w:r w:rsidR="00662FE6" w:rsidRPr="00662FE6">
        <w:rPr>
          <w:rFonts w:asciiTheme="minorHAnsi" w:hAnsiTheme="minorHAnsi" w:cstheme="minorHAnsi"/>
        </w:rPr>
        <w:t>tve a leltározás bizonylatairól.</w:t>
      </w:r>
    </w:p>
    <w:p w:rsidR="00662FE6" w:rsidRPr="00662FE6" w:rsidRDefault="00662FE6" w:rsidP="00662FE6">
      <w:pPr>
        <w:spacing w:after="16" w:line="360" w:lineRule="auto"/>
        <w:ind w:left="14" w:right="245" w:firstLine="4"/>
        <w:jc w:val="both"/>
        <w:rPr>
          <w:rFonts w:asciiTheme="minorHAnsi" w:hAnsiTheme="minorHAnsi" w:cstheme="minorHAnsi"/>
        </w:rPr>
      </w:pPr>
    </w:p>
    <w:p w:rsidR="00C1606A" w:rsidRDefault="00662FE6" w:rsidP="00662FE6">
      <w:pPr>
        <w:spacing w:after="16" w:line="360" w:lineRule="auto"/>
        <w:ind w:left="14" w:right="254" w:firstLine="4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feleslegessé vált vagyontárgyak feltárásának, hasznosításának és selejtezésének rendjéről szóló szabályzat célja a felesleges vagyontárgyak hasznosításával, selejtezésével kapcsolatos feladatok meghatározása, illetve az erre vonatkozó eljárásrend kialakítása, és a megfelelő bizonylati rendszer rögzítése.</w:t>
      </w:r>
    </w:p>
    <w:p w:rsidR="00662FE6" w:rsidRPr="00662FE6" w:rsidRDefault="00662FE6" w:rsidP="00662FE6">
      <w:pPr>
        <w:spacing w:after="16" w:line="360" w:lineRule="auto"/>
        <w:ind w:left="14" w:right="254" w:firstLine="4"/>
        <w:jc w:val="both"/>
        <w:rPr>
          <w:rFonts w:asciiTheme="minorHAnsi" w:hAnsiTheme="minorHAnsi" w:cstheme="minorHAnsi"/>
        </w:rPr>
      </w:pPr>
    </w:p>
    <w:p w:rsidR="00CC7530" w:rsidRPr="00662FE6" w:rsidRDefault="00100E2D" w:rsidP="00662FE6">
      <w:pPr>
        <w:spacing w:after="398" w:line="360" w:lineRule="auto"/>
        <w:ind w:right="245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eszközök és források értékelés</w:t>
      </w:r>
      <w:r w:rsidR="00C1606A" w:rsidRPr="00662FE6">
        <w:rPr>
          <w:rFonts w:asciiTheme="minorHAnsi" w:hAnsiTheme="minorHAnsi" w:cstheme="minorHAnsi"/>
        </w:rPr>
        <w:t xml:space="preserve">i rendjéről szóló </w:t>
      </w:r>
      <w:r w:rsidRPr="00662FE6">
        <w:rPr>
          <w:rFonts w:asciiTheme="minorHAnsi" w:hAnsiTheme="minorHAnsi" w:cstheme="minorHAnsi"/>
        </w:rPr>
        <w:t xml:space="preserve"> szabályzat célja, hogy az Sztv. 57. </w:t>
      </w:r>
      <w:r w:rsidR="00C1606A" w:rsidRPr="00662FE6">
        <w:rPr>
          <w:rFonts w:asciiTheme="minorHAnsi" w:hAnsiTheme="minorHAnsi" w:cstheme="minorHAnsi"/>
        </w:rPr>
        <w:t>§-a, valamint az Á</w:t>
      </w:r>
      <w:r w:rsidRPr="00662FE6">
        <w:rPr>
          <w:rFonts w:asciiTheme="minorHAnsi" w:hAnsiTheme="minorHAnsi" w:cstheme="minorHAnsi"/>
        </w:rPr>
        <w:t>hsz. alapján meghatározásra kerüljenek azok az értékelési elvek mó</w:t>
      </w:r>
      <w:r w:rsidR="00C1606A" w:rsidRPr="00662FE6">
        <w:rPr>
          <w:rFonts w:asciiTheme="minorHAnsi" w:hAnsiTheme="minorHAnsi" w:cstheme="minorHAnsi"/>
        </w:rPr>
        <w:t>dszerek, amelyekkel az önkormányzat</w:t>
      </w:r>
      <w:r w:rsidRPr="00662FE6">
        <w:rPr>
          <w:rFonts w:asciiTheme="minorHAnsi" w:hAnsiTheme="minorHAnsi" w:cstheme="minorHAnsi"/>
        </w:rPr>
        <w:t xml:space="preserve"> az eszközeinek és forrásainak értékét megállapítja, továbbá rögzítésre kerüljenek azok az értékelési szabályok, amelyek alk</w:t>
      </w:r>
      <w:r w:rsidR="00C1606A" w:rsidRPr="00662FE6">
        <w:rPr>
          <w:rFonts w:asciiTheme="minorHAnsi" w:hAnsiTheme="minorHAnsi" w:cstheme="minorHAnsi"/>
        </w:rPr>
        <w:t>almazása az Sztv., valamint az Á</w:t>
      </w:r>
      <w:r w:rsidRPr="00662FE6">
        <w:rPr>
          <w:rFonts w:asciiTheme="minorHAnsi" w:hAnsiTheme="minorHAnsi" w:cstheme="minorHAnsi"/>
        </w:rPr>
        <w:t>hsz. felhatalmazása alapján — az</w:t>
      </w:r>
      <w:r w:rsidR="00C1606A" w:rsidRPr="00662FE6">
        <w:rPr>
          <w:rFonts w:asciiTheme="minorHAnsi" w:hAnsiTheme="minorHAnsi" w:cstheme="minorHAnsi"/>
        </w:rPr>
        <w:t xml:space="preserve"> önkormányzat</w:t>
      </w:r>
      <w:r w:rsidRPr="00662FE6">
        <w:rPr>
          <w:rFonts w:asciiTheme="minorHAnsi" w:hAnsiTheme="minorHAnsi" w:cstheme="minorHAnsi"/>
        </w:rPr>
        <w:t xml:space="preserve"> döntésén alapul.</w:t>
      </w:r>
    </w:p>
    <w:p w:rsidR="00895D97" w:rsidRPr="00110E33" w:rsidRDefault="006B7988" w:rsidP="006B7988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</w:rPr>
      </w:pPr>
      <w:r w:rsidRPr="006B7988">
        <w:rPr>
          <w:rFonts w:asciiTheme="minorHAnsi" w:hAnsiTheme="minorHAnsi" w:cstheme="minorHAnsi"/>
          <w:b/>
        </w:rPr>
        <w:t>A tárgyi eszközök állománya és nyilvántartása</w:t>
      </w:r>
    </w:p>
    <w:p w:rsidR="00110E33" w:rsidRDefault="00110E33" w:rsidP="00110E33">
      <w:pPr>
        <w:spacing w:line="276" w:lineRule="auto"/>
        <w:ind w:left="60"/>
        <w:jc w:val="both"/>
        <w:rPr>
          <w:rFonts w:asciiTheme="minorHAnsi" w:hAnsiTheme="minorHAnsi"/>
          <w:b/>
        </w:rPr>
      </w:pPr>
    </w:p>
    <w:p w:rsidR="00662FE6" w:rsidRDefault="00110E33" w:rsidP="00662FE6">
      <w:pPr>
        <w:spacing w:line="360" w:lineRule="auto"/>
        <w:ind w:left="60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 Sztv. alapján a tárgyi eszközök között a mérlegben azokat a rendeltetésszerűen használatba vett, üzembe helyezett anyagi eszközöket (földterület, telek, telkesítés, erdő, ültetvény, épület, egyéb építmény, műszaki berendezés, gép, jármű, üzemi és üzleti felszerelés, egyéb berendezés, ingatl</w:t>
      </w:r>
      <w:r w:rsidR="00E56B72">
        <w:rPr>
          <w:rFonts w:asciiTheme="minorHAnsi" w:hAnsiTheme="minorHAnsi" w:cstheme="minorHAnsi"/>
        </w:rPr>
        <w:t>anokhoz kapcsolódó vagyon értékű</w:t>
      </w:r>
      <w:r w:rsidRPr="00662FE6">
        <w:rPr>
          <w:rFonts w:asciiTheme="minorHAnsi" w:hAnsiTheme="minorHAnsi" w:cstheme="minorHAnsi"/>
        </w:rPr>
        <w:t xml:space="preserve"> jogok) tenyészállatokat kell kimutatni, amelyek tartósan — közvetlenül vagy közvetett módon — szolgálják a tevékenységet, továbbá az ezen eszközök beszerzésére (a beruházásokra) adott előlegek és a beruházásokat, valamint tárgyi eszközök</w:t>
      </w:r>
      <w:r w:rsidR="00662FE6">
        <w:rPr>
          <w:rFonts w:asciiTheme="minorHAnsi" w:hAnsiTheme="minorHAnsi" w:cstheme="minorHAnsi"/>
        </w:rPr>
        <w:t>.</w:t>
      </w:r>
    </w:p>
    <w:p w:rsidR="00DD050F" w:rsidRPr="00662FE6" w:rsidRDefault="00DD050F" w:rsidP="00662FE6">
      <w:pPr>
        <w:spacing w:line="360" w:lineRule="auto"/>
        <w:ind w:left="60"/>
        <w:jc w:val="both"/>
        <w:rPr>
          <w:rFonts w:asciiTheme="minorHAnsi" w:hAnsiTheme="minorHAnsi" w:cstheme="minorHAnsi"/>
        </w:rPr>
      </w:pPr>
    </w:p>
    <w:p w:rsidR="009F1D6A" w:rsidRPr="00662FE6" w:rsidRDefault="009F1D6A" w:rsidP="009F1D6A">
      <w:pPr>
        <w:spacing w:line="360" w:lineRule="auto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lastRenderedPageBreak/>
        <w:t>A vagyon nyilvántartását, kimutatását a főkönyvi könyvelésben, az analitikus nyilvántartásban, az ingatlan vagyon kataszterben, valamint a vagyonkimutatásban kell elvégezni.</w:t>
      </w:r>
    </w:p>
    <w:p w:rsidR="009F1D6A" w:rsidRDefault="009F1D6A" w:rsidP="00662FE6">
      <w:pPr>
        <w:spacing w:after="16" w:line="360" w:lineRule="auto"/>
        <w:ind w:left="60" w:right="52"/>
        <w:jc w:val="both"/>
        <w:rPr>
          <w:rFonts w:asciiTheme="minorHAnsi" w:hAnsiTheme="minorHAnsi" w:cstheme="minorHAnsi"/>
        </w:rPr>
      </w:pPr>
    </w:p>
    <w:p w:rsidR="00100E2D" w:rsidRPr="00662FE6" w:rsidRDefault="00100E2D" w:rsidP="00662FE6">
      <w:pPr>
        <w:spacing w:after="16" w:line="360" w:lineRule="auto"/>
        <w:ind w:left="60" w:right="52"/>
        <w:jc w:val="both"/>
        <w:rPr>
          <w:rFonts w:asciiTheme="minorHAnsi" w:hAnsiTheme="minorHAnsi" w:cstheme="minorHAnsi"/>
        </w:rPr>
      </w:pPr>
      <w:r w:rsidRPr="00662FE6">
        <w:rPr>
          <w:rFonts w:asciiTheme="minorHAnsi" w:hAnsiTheme="minorHAnsi" w:cstheme="minorHAnsi"/>
        </w:rPr>
        <w:t>Az Önkor</w:t>
      </w:r>
      <w:r w:rsidR="006F7868" w:rsidRPr="00662FE6">
        <w:rPr>
          <w:rFonts w:asciiTheme="minorHAnsi" w:hAnsiTheme="minorHAnsi" w:cstheme="minorHAnsi"/>
        </w:rPr>
        <w:t>mányzat</w:t>
      </w:r>
      <w:r w:rsidRPr="00662FE6">
        <w:rPr>
          <w:rFonts w:asciiTheme="minorHAnsi" w:hAnsiTheme="minorHAnsi" w:cstheme="minorHAnsi"/>
        </w:rPr>
        <w:t xml:space="preserve"> tárgyi eszköz állományának összetétele mérlegtételek szerint csoportos</w:t>
      </w:r>
      <w:r w:rsidR="006F7868" w:rsidRPr="00662FE6">
        <w:rPr>
          <w:rFonts w:asciiTheme="minorHAnsi" w:hAnsiTheme="minorHAnsi" w:cstheme="minorHAnsi"/>
        </w:rPr>
        <w:t>ítva, bruttó érték szerint (2021</w:t>
      </w:r>
      <w:r w:rsidRPr="00662FE6">
        <w:rPr>
          <w:rFonts w:asciiTheme="minorHAnsi" w:hAnsiTheme="minorHAnsi" w:cstheme="minorHAnsi"/>
        </w:rPr>
        <w:t>. december 31-én)</w:t>
      </w:r>
    </w:p>
    <w:p w:rsidR="00100E2D" w:rsidRDefault="00100E2D" w:rsidP="00100E2D">
      <w:pPr>
        <w:spacing w:after="16" w:line="248" w:lineRule="auto"/>
        <w:ind w:left="60" w:right="52"/>
        <w:jc w:val="both"/>
      </w:pPr>
    </w:p>
    <w:tbl>
      <w:tblPr>
        <w:tblStyle w:val="TableGrid"/>
        <w:tblW w:w="8705" w:type="dxa"/>
        <w:tblInd w:w="-21" w:type="dxa"/>
        <w:tblCellMar>
          <w:top w:w="26" w:type="dxa"/>
          <w:right w:w="94" w:type="dxa"/>
        </w:tblCellMar>
        <w:tblLook w:val="04A0" w:firstRow="1" w:lastRow="0" w:firstColumn="1" w:lastColumn="0" w:noHBand="0" w:noVBand="1"/>
      </w:tblPr>
      <w:tblGrid>
        <w:gridCol w:w="4831"/>
        <w:gridCol w:w="867"/>
        <w:gridCol w:w="3007"/>
      </w:tblGrid>
      <w:tr w:rsidR="00100E2D" w:rsidTr="00C5778C">
        <w:trPr>
          <w:trHeight w:val="331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100E2D" w:rsidP="00C5778C">
            <w:pPr>
              <w:ind w:left="112"/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T</w:t>
            </w:r>
            <w:r w:rsidR="006F7868" w:rsidRPr="007D6369">
              <w:rPr>
                <w:rFonts w:eastAsia="Times New Roman" w:cstheme="minorHAnsi"/>
                <w:b/>
                <w:sz w:val="26"/>
              </w:rPr>
              <w:t>árgy</w:t>
            </w:r>
            <w:r w:rsidR="00DC7673" w:rsidRPr="007D6369">
              <w:rPr>
                <w:rFonts w:eastAsia="Times New Roman" w:cstheme="minorHAnsi"/>
                <w:b/>
                <w:sz w:val="26"/>
              </w:rPr>
              <w:t xml:space="preserve"> évi n</w:t>
            </w:r>
            <w:r w:rsidR="006F7868" w:rsidRPr="007D6369">
              <w:rPr>
                <w:rFonts w:eastAsia="Times New Roman" w:cstheme="minorHAnsi"/>
                <w:b/>
                <w:sz w:val="26"/>
              </w:rPr>
              <w:t>yi</w:t>
            </w:r>
            <w:r w:rsidRPr="007D6369">
              <w:rPr>
                <w:rFonts w:eastAsia="Times New Roman" w:cstheme="minorHAnsi"/>
                <w:b/>
                <w:sz w:val="26"/>
              </w:rPr>
              <w:t>tó állomán</w:t>
            </w:r>
            <w:r w:rsidR="006F7868" w:rsidRPr="007D6369">
              <w:rPr>
                <w:rFonts w:eastAsia="Times New Roman" w:cstheme="minorHAnsi"/>
                <w:b/>
                <w:sz w:val="26"/>
              </w:rPr>
              <w:t>y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E2D" w:rsidRDefault="004018D0" w:rsidP="00C5778C">
            <w:pPr>
              <w:ind w:right="7"/>
              <w:jc w:val="right"/>
            </w:pPr>
            <w:r>
              <w:t>1 192 787 753</w:t>
            </w:r>
          </w:p>
        </w:tc>
      </w:tr>
      <w:tr w:rsidR="00100E2D" w:rsidTr="00C5778C">
        <w:trPr>
          <w:trHeight w:val="637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100E2D" w:rsidP="00C5778C">
            <w:pPr>
              <w:ind w:left="112" w:firstLine="5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Immateriális</w:t>
            </w:r>
            <w:r w:rsidRPr="007D6369">
              <w:rPr>
                <w:rFonts w:eastAsia="Times New Roman" w:cstheme="minorHAnsi"/>
                <w:sz w:val="22"/>
                <w:szCs w:val="22"/>
              </w:rPr>
              <w:tab/>
            </w:r>
            <w:r w:rsidRPr="007D6369">
              <w:rPr>
                <w:rFonts w:cstheme="minorHAnsi"/>
                <w:sz w:val="22"/>
                <w:szCs w:val="22"/>
              </w:rPr>
              <w:t>javak beszerzése, nem</w:t>
            </w:r>
            <w:r w:rsidR="00DC7673" w:rsidRPr="007D6369">
              <w:rPr>
                <w:rFonts w:cstheme="minorHAnsi"/>
                <w:sz w:val="22"/>
                <w:szCs w:val="22"/>
              </w:rPr>
              <w:t xml:space="preserve"> aktívált</w:t>
            </w:r>
            <w:r w:rsidRPr="007D6369">
              <w:rPr>
                <w:rFonts w:cstheme="minorHAnsi"/>
                <w:sz w:val="22"/>
                <w:szCs w:val="22"/>
              </w:rPr>
              <w:t xml:space="preserve"> beruházások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DC767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E2D" w:rsidRDefault="004018D0" w:rsidP="00C5778C">
            <w:pPr>
              <w:ind w:right="16"/>
              <w:jc w:val="right"/>
            </w:pPr>
            <w:r>
              <w:t>73 620 398</w:t>
            </w:r>
          </w:p>
        </w:tc>
      </w:tr>
      <w:tr w:rsidR="00100E2D" w:rsidTr="00C5778C">
        <w:trPr>
          <w:trHeight w:val="319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DC7673" w:rsidP="00C5778C">
            <w:pPr>
              <w:ind w:left="112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Nem aktivált felúj</w:t>
            </w:r>
            <w:r w:rsidR="00100E2D" w:rsidRPr="007D6369">
              <w:rPr>
                <w:rFonts w:eastAsia="Times New Roman" w:cstheme="minorHAnsi"/>
                <w:sz w:val="22"/>
                <w:szCs w:val="22"/>
              </w:rPr>
              <w:t>ítások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E2D" w:rsidRDefault="004018D0" w:rsidP="00C5778C">
            <w:pPr>
              <w:ind w:right="21"/>
              <w:jc w:val="right"/>
            </w:pPr>
            <w:r>
              <w:t>15 146 626</w:t>
            </w:r>
          </w:p>
        </w:tc>
      </w:tr>
      <w:tr w:rsidR="00100E2D" w:rsidTr="00C5778C">
        <w:trPr>
          <w:trHeight w:val="317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DC7673" w:rsidP="00C5778C">
            <w:pPr>
              <w:ind w:left="107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Beruházásokból, felújít</w:t>
            </w:r>
            <w:r w:rsidR="00100E2D" w:rsidRPr="007D6369">
              <w:rPr>
                <w:rFonts w:eastAsia="Times New Roman" w:cstheme="minorHAnsi"/>
                <w:sz w:val="22"/>
                <w:szCs w:val="22"/>
              </w:rPr>
              <w:t>ásokból aktivált érték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E2D" w:rsidRDefault="004018D0" w:rsidP="00C5778C">
            <w:pPr>
              <w:ind w:right="26"/>
              <w:jc w:val="right"/>
            </w:pPr>
            <w:r>
              <w:t>239 143 952</w:t>
            </w:r>
          </w:p>
        </w:tc>
      </w:tr>
      <w:tr w:rsidR="00100E2D" w:rsidTr="00C5778C">
        <w:trPr>
          <w:trHeight w:val="329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DC7673" w:rsidP="00C5778C">
            <w:pPr>
              <w:ind w:left="112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cstheme="minorHAnsi"/>
                <w:sz w:val="22"/>
                <w:szCs w:val="22"/>
              </w:rPr>
              <w:t>Térítésmentes átvétel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E2D" w:rsidRDefault="004018D0" w:rsidP="00C5778C">
            <w:pPr>
              <w:ind w:right="26"/>
              <w:jc w:val="right"/>
            </w:pPr>
            <w:r>
              <w:t>4 178 259</w:t>
            </w:r>
          </w:p>
        </w:tc>
      </w:tr>
      <w:tr w:rsidR="00100E2D" w:rsidTr="00DC767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E2D" w:rsidRPr="007D6369" w:rsidRDefault="00DC7673" w:rsidP="00C5778C">
            <w:pPr>
              <w:ind w:left="103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cstheme="minorHAnsi"/>
                <w:sz w:val="22"/>
                <w:szCs w:val="22"/>
              </w:rPr>
              <w:t>Egyéb növekedés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E2D" w:rsidRDefault="00100E2D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E2D" w:rsidRDefault="004018D0" w:rsidP="00C5778C">
            <w:pPr>
              <w:ind w:right="26"/>
              <w:jc w:val="right"/>
            </w:pPr>
            <w:r>
              <w:t>32 081 683</w:t>
            </w:r>
          </w:p>
        </w:tc>
      </w:tr>
      <w:tr w:rsidR="00DC7673" w:rsidTr="00DC767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7673" w:rsidRPr="007D6369" w:rsidRDefault="00DC7673" w:rsidP="00C5778C">
            <w:pPr>
              <w:ind w:left="103"/>
              <w:rPr>
                <w:rFonts w:cstheme="minorHAnsi"/>
                <w:b/>
                <w:sz w:val="22"/>
                <w:szCs w:val="22"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Összes növekedés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7673" w:rsidRDefault="00DC7673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7673" w:rsidRDefault="004018D0" w:rsidP="00C5778C">
            <w:pPr>
              <w:ind w:right="26"/>
              <w:jc w:val="right"/>
            </w:pPr>
            <w:r>
              <w:t>364 170 920</w:t>
            </w:r>
          </w:p>
        </w:tc>
      </w:tr>
      <w:tr w:rsidR="00DC7673" w:rsidTr="00DC767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7673" w:rsidRPr="007D6369" w:rsidRDefault="00110E33" w:rsidP="00C5778C">
            <w:pPr>
              <w:ind w:left="103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cstheme="minorHAnsi"/>
                <w:sz w:val="22"/>
                <w:szCs w:val="22"/>
              </w:rPr>
              <w:t>Értékesítés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7673" w:rsidRDefault="00DC7673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7673" w:rsidRDefault="004018D0" w:rsidP="00C5778C">
            <w:pPr>
              <w:ind w:right="26"/>
              <w:jc w:val="right"/>
            </w:pPr>
            <w:r>
              <w:t>1 012 000</w:t>
            </w:r>
          </w:p>
        </w:tc>
      </w:tr>
      <w:tr w:rsidR="00DC7673" w:rsidTr="00DC767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7673" w:rsidRPr="007D6369" w:rsidRDefault="00110E33" w:rsidP="00C5778C">
            <w:pPr>
              <w:ind w:left="103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cstheme="minorHAnsi"/>
                <w:sz w:val="22"/>
                <w:szCs w:val="22"/>
              </w:rPr>
              <w:t>Hiány, selejtezés, megsemmisülés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7673" w:rsidRDefault="00DC7673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7673" w:rsidRDefault="004018D0" w:rsidP="00C5778C">
            <w:pPr>
              <w:ind w:right="26"/>
              <w:jc w:val="right"/>
            </w:pPr>
            <w:r>
              <w:t>6 236 697</w:t>
            </w:r>
          </w:p>
        </w:tc>
      </w:tr>
      <w:tr w:rsidR="00DC767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7673" w:rsidRPr="007D6369" w:rsidRDefault="00110E33" w:rsidP="00C5778C">
            <w:pPr>
              <w:ind w:left="103"/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E</w:t>
            </w:r>
            <w:r w:rsidR="009F1D6A" w:rsidRPr="007D6369">
              <w:rPr>
                <w:rFonts w:eastAsia="Times New Roman" w:cstheme="minorHAnsi"/>
                <w:sz w:val="22"/>
                <w:szCs w:val="22"/>
              </w:rPr>
              <w:t>gy</w:t>
            </w:r>
            <w:r w:rsidRPr="007D6369">
              <w:rPr>
                <w:rFonts w:eastAsia="Times New Roman" w:cstheme="minorHAnsi"/>
                <w:sz w:val="22"/>
                <w:szCs w:val="22"/>
              </w:rPr>
              <w:t>éb csökkenés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7673" w:rsidRDefault="00DC7673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7673" w:rsidRDefault="004018D0" w:rsidP="00C5778C">
            <w:pPr>
              <w:ind w:right="26"/>
              <w:jc w:val="right"/>
            </w:pPr>
            <w:r>
              <w:t>267 441 385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9F1D6A" w:rsidP="00C5778C">
            <w:pPr>
              <w:ind w:left="103"/>
              <w:rPr>
                <w:rFonts w:cstheme="minorHAnsi"/>
                <w:b/>
                <w:sz w:val="26"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Ö</w:t>
            </w:r>
            <w:r w:rsidR="00110E33" w:rsidRPr="007D6369">
              <w:rPr>
                <w:rFonts w:eastAsia="Times New Roman" w:cstheme="minorHAnsi"/>
                <w:b/>
                <w:sz w:val="26"/>
              </w:rPr>
              <w:t>sszes csökkenés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C5778C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C5778C">
            <w:pPr>
              <w:ind w:right="26"/>
              <w:jc w:val="right"/>
            </w:pPr>
            <w:r>
              <w:t>274 690 082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110E33" w:rsidP="00110E33">
            <w:pPr>
              <w:ind w:left="10"/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Bruttó érték összesen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1 282268 591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9F1D6A" w:rsidP="00110E33">
            <w:pPr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Terv szerinti értékcsökkenés nyitó állomány</w:t>
            </w:r>
            <w:r w:rsidR="00110E33" w:rsidRPr="007D6369">
              <w:rPr>
                <w:rFonts w:eastAsia="Times New Roman" w:cstheme="minorHAnsi"/>
                <w:b/>
                <w:sz w:val="26"/>
              </w:rPr>
              <w:t>a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239 508 722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110E33" w:rsidP="00110E33">
            <w:pPr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Terv szerinti értékcsökkenés növekedése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39 873 851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110E33" w:rsidP="00110E33">
            <w:pPr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Terv szerinti értékcsökkenés csökkenése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6 236 697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110E33" w:rsidP="00110E33">
            <w:pPr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Terv szeri</w:t>
            </w:r>
            <w:r w:rsidR="009F1D6A" w:rsidRPr="007D6369">
              <w:rPr>
                <w:rFonts w:eastAsia="Times New Roman" w:cstheme="minorHAnsi"/>
                <w:b/>
                <w:sz w:val="26"/>
              </w:rPr>
              <w:t>nti értékcsökkenés záró állomány</w:t>
            </w:r>
            <w:r w:rsidRPr="007D6369">
              <w:rPr>
                <w:rFonts w:eastAsia="Times New Roman" w:cstheme="minorHAnsi"/>
                <w:b/>
                <w:sz w:val="26"/>
              </w:rPr>
              <w:t>a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273 235 876</w:t>
            </w:r>
          </w:p>
        </w:tc>
      </w:tr>
      <w:tr w:rsidR="00110E33" w:rsidTr="00110E33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9F1D6A" w:rsidP="00110E33">
            <w:pPr>
              <w:ind w:left="10"/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É</w:t>
            </w:r>
            <w:r w:rsidR="00110E33" w:rsidRPr="007D6369">
              <w:rPr>
                <w:rFonts w:eastAsia="Times New Roman" w:cstheme="minorHAnsi"/>
                <w:b/>
                <w:sz w:val="26"/>
              </w:rPr>
              <w:t>rtékcsökkenés összesen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273 235 876</w:t>
            </w:r>
          </w:p>
        </w:tc>
      </w:tr>
      <w:tr w:rsidR="00110E33" w:rsidTr="009F1D6A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0E33" w:rsidRPr="007D6369" w:rsidRDefault="00110E33" w:rsidP="00110E33">
            <w:pPr>
              <w:ind w:left="10"/>
              <w:rPr>
                <w:rFonts w:cstheme="minorHAnsi"/>
                <w:b/>
              </w:rPr>
            </w:pPr>
            <w:r w:rsidRPr="007D6369">
              <w:rPr>
                <w:rFonts w:eastAsia="Times New Roman" w:cstheme="minorHAnsi"/>
                <w:b/>
                <w:sz w:val="26"/>
              </w:rPr>
              <w:t>Eszközök nettó értéke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4018D0" w:rsidP="00110E33">
            <w:pPr>
              <w:ind w:right="26"/>
              <w:jc w:val="right"/>
            </w:pPr>
            <w:r>
              <w:t>1 009 032 715</w:t>
            </w:r>
          </w:p>
        </w:tc>
      </w:tr>
      <w:tr w:rsidR="00110E33" w:rsidTr="009F1D6A">
        <w:trPr>
          <w:trHeight w:val="333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10E33" w:rsidRPr="007D6369" w:rsidRDefault="00110E33" w:rsidP="00110E33">
            <w:pPr>
              <w:rPr>
                <w:rFonts w:cstheme="minorHAnsi"/>
                <w:sz w:val="22"/>
                <w:szCs w:val="22"/>
              </w:rPr>
            </w:pPr>
            <w:r w:rsidRPr="007D6369">
              <w:rPr>
                <w:rFonts w:eastAsia="Times New Roman" w:cstheme="minorHAnsi"/>
                <w:sz w:val="22"/>
                <w:szCs w:val="22"/>
              </w:rPr>
              <w:t>Teresen (0-i ) leírt eszközök bruttó értéke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110E33" w:rsidRDefault="00110E33" w:rsidP="00110E33"/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E33" w:rsidRDefault="007D6369" w:rsidP="00110E33">
            <w:pPr>
              <w:ind w:right="26"/>
              <w:jc w:val="right"/>
            </w:pPr>
            <w:r>
              <w:t>82 332 660</w:t>
            </w:r>
          </w:p>
        </w:tc>
      </w:tr>
    </w:tbl>
    <w:p w:rsidR="00100E2D" w:rsidRDefault="00100E2D" w:rsidP="009F1D6A">
      <w:pPr>
        <w:sectPr w:rsidR="00100E2D">
          <w:footerReference w:type="even" r:id="rId14"/>
          <w:footerReference w:type="default" r:id="rId15"/>
          <w:footerReference w:type="first" r:id="rId16"/>
          <w:pgSz w:w="11920" w:h="16840"/>
          <w:pgMar w:top="1681" w:right="1219" w:bottom="1733" w:left="1608" w:header="708" w:footer="1061" w:gutter="0"/>
          <w:cols w:space="708"/>
        </w:sectPr>
      </w:pPr>
    </w:p>
    <w:p w:rsidR="002E6945" w:rsidRPr="00DA10D8" w:rsidRDefault="00DA10D8" w:rsidP="00DA10D8">
      <w:pPr>
        <w:spacing w:after="67" w:line="360" w:lineRule="auto"/>
        <w:ind w:left="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Az Önkormányzat </w:t>
      </w:r>
      <w:r w:rsidR="004D57E7">
        <w:rPr>
          <w:rFonts w:asciiTheme="minorHAnsi" w:hAnsiTheme="minorHAnsi" w:cstheme="minorHAnsi"/>
        </w:rPr>
        <w:t>i</w:t>
      </w:r>
      <w:r w:rsidRPr="00DA10D8">
        <w:rPr>
          <w:rFonts w:asciiTheme="minorHAnsi" w:hAnsiTheme="minorHAnsi" w:cstheme="minorHAnsi"/>
        </w:rPr>
        <w:t>ngatlanvagyon-kataszterének</w:t>
      </w:r>
      <w:r w:rsidR="005B3198">
        <w:rPr>
          <w:rFonts w:asciiTheme="minorHAnsi" w:hAnsiTheme="minorHAnsi" w:cstheme="minorHAnsi"/>
        </w:rPr>
        <w:t xml:space="preserve">, valamint tárgyi eszköz </w:t>
      </w:r>
      <w:r w:rsidRPr="00DA10D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yilvántartásainak folyamatos vezetésével kapcsolatos feladatellátásra vállalkozói szerződést kötött. A m</w:t>
      </w:r>
      <w:r w:rsidRPr="00DA10D8">
        <w:rPr>
          <w:rFonts w:asciiTheme="minorHAnsi" w:hAnsiTheme="minorHAnsi" w:cstheme="minorHAnsi"/>
        </w:rPr>
        <w:t>egbízott az adatok feldolgozását az ÁSZ, MÁK, KSH által támogatott és elfogadott szám</w:t>
      </w:r>
      <w:r>
        <w:rPr>
          <w:rFonts w:asciiTheme="minorHAnsi" w:hAnsiTheme="minorHAnsi" w:cstheme="minorHAnsi"/>
        </w:rPr>
        <w:t xml:space="preserve">ítógépes </w:t>
      </w:r>
      <w:r w:rsidRPr="00DA10D8">
        <w:rPr>
          <w:rFonts w:asciiTheme="minorHAnsi" w:hAnsiTheme="minorHAnsi" w:cstheme="minorHAnsi"/>
        </w:rPr>
        <w:t>ASP program KATI és IVK modul</w:t>
      </w:r>
      <w:r>
        <w:rPr>
          <w:rFonts w:asciiTheme="minorHAnsi" w:hAnsiTheme="minorHAnsi" w:cstheme="minorHAnsi"/>
        </w:rPr>
        <w:t xml:space="preserve">jában végzi. Feladata </w:t>
      </w:r>
      <w:r w:rsidRPr="00DA10D8">
        <w:rPr>
          <w:rFonts w:asciiTheme="minorHAnsi" w:hAnsiTheme="minorHAnsi" w:cstheme="minorHAnsi"/>
        </w:rPr>
        <w:t>a számviteli nyilvántartással</w:t>
      </w:r>
      <w:r>
        <w:rPr>
          <w:rFonts w:asciiTheme="minorHAnsi" w:hAnsiTheme="minorHAnsi" w:cstheme="minorHAnsi"/>
        </w:rPr>
        <w:t xml:space="preserve"> való negyedévenkénti egyeztetés</w:t>
      </w:r>
      <w:r w:rsidRPr="00DA10D8">
        <w:rPr>
          <w:rFonts w:asciiTheme="minorHAnsi" w:hAnsiTheme="minorHAnsi" w:cstheme="minorHAnsi"/>
        </w:rPr>
        <w:t xml:space="preserve"> a MÁK által meghatározott határidőig, illetve előállítja a negyedéves (éves) záráshoz kapcsolódó dokumentumokat. (Állománybavételi bizonylatok, kartonok, ÉCS és változás listák stb.)</w:t>
      </w:r>
    </w:p>
    <w:p w:rsidR="006C0C13" w:rsidRDefault="00996426" w:rsidP="006C0C13">
      <w:pPr>
        <w:spacing w:after="316" w:line="360" w:lineRule="auto"/>
        <w:ind w:left="11" w:right="1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vizsgált időszakban szúrópróba szerűen kiválasztott eszközök esetében az üzembe </w:t>
      </w:r>
      <w:r w:rsidR="006C0C13">
        <w:rPr>
          <w:rFonts w:asciiTheme="minorHAnsi" w:hAnsiTheme="minorHAnsi" w:cstheme="minorHAnsi"/>
        </w:rPr>
        <w:t>helyezés állománybavételi bizonylat</w:t>
      </w:r>
      <w:r>
        <w:rPr>
          <w:rFonts w:asciiTheme="minorHAnsi" w:hAnsiTheme="minorHAnsi" w:cstheme="minorHAnsi"/>
        </w:rPr>
        <w:t xml:space="preserve"> alapján </w:t>
      </w:r>
      <w:r w:rsidR="004D57E7">
        <w:rPr>
          <w:rFonts w:asciiTheme="minorHAnsi" w:hAnsiTheme="minorHAnsi" w:cstheme="minorHAnsi"/>
        </w:rPr>
        <w:t>meg</w:t>
      </w:r>
      <w:r>
        <w:rPr>
          <w:rFonts w:asciiTheme="minorHAnsi" w:hAnsiTheme="minorHAnsi" w:cstheme="minorHAnsi"/>
        </w:rPr>
        <w:t>történ</w:t>
      </w:r>
      <w:r w:rsidR="004D57E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, az értékek az alap számviteli dokumentációknak megfelelnek, besorolásuk során figyelembe vették a vonatkozó törvényi előírásokat.</w:t>
      </w:r>
      <w:r w:rsidR="006C0C13">
        <w:rPr>
          <w:rFonts w:asciiTheme="minorHAnsi" w:hAnsiTheme="minorHAnsi" w:cstheme="minorHAnsi"/>
        </w:rPr>
        <w:t xml:space="preserve"> </w:t>
      </w:r>
    </w:p>
    <w:p w:rsidR="006C0C13" w:rsidRDefault="00100E2D" w:rsidP="006C0C13">
      <w:pPr>
        <w:spacing w:after="316" w:line="360" w:lineRule="auto"/>
        <w:ind w:left="11" w:right="11"/>
        <w:contextualSpacing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>A tételekhez kapcsolódóan csatolásra ker</w:t>
      </w:r>
      <w:r w:rsidR="006C0C13">
        <w:rPr>
          <w:rFonts w:asciiTheme="minorHAnsi" w:hAnsiTheme="minorHAnsi" w:cstheme="minorHAnsi"/>
        </w:rPr>
        <w:t>ültek a szerződés</w:t>
      </w:r>
      <w:r w:rsidRPr="00375665">
        <w:rPr>
          <w:rFonts w:asciiTheme="minorHAnsi" w:hAnsiTheme="minorHAnsi" w:cstheme="minorHAnsi"/>
        </w:rPr>
        <w:t xml:space="preserve"> másolatai, és a számla másola</w:t>
      </w:r>
      <w:r w:rsidR="00C10A7C">
        <w:rPr>
          <w:rFonts w:asciiTheme="minorHAnsi" w:hAnsiTheme="minorHAnsi" w:cstheme="minorHAnsi"/>
        </w:rPr>
        <w:t xml:space="preserve">tok. </w:t>
      </w:r>
      <w:r w:rsidRPr="00375665">
        <w:rPr>
          <w:rFonts w:asciiTheme="minorHAnsi" w:hAnsiTheme="minorHAnsi" w:cstheme="minorHAnsi"/>
        </w:rPr>
        <w:t xml:space="preserve">Az amortizációs kulcsokat </w:t>
      </w:r>
      <w:r w:rsidR="004D57E7">
        <w:rPr>
          <w:rFonts w:asciiTheme="minorHAnsi" w:hAnsiTheme="minorHAnsi" w:cstheme="minorHAnsi"/>
        </w:rPr>
        <w:t>helyesen állapították</w:t>
      </w:r>
      <w:r w:rsidRPr="00375665">
        <w:rPr>
          <w:rFonts w:asciiTheme="minorHAnsi" w:hAnsiTheme="minorHAnsi" w:cstheme="minorHAnsi"/>
        </w:rPr>
        <w:t xml:space="preserve"> meg. A terv szerinti értékcsökkenés elszámolása az aktiválás napján történt. A negyedévenként elszámolt összeget naprakészen rögzítettek és nyilvántartották. A 0-ra leírt eszközök értéke után terv szerinti értékcsökkenési leírás nem került elszámolásra.</w:t>
      </w:r>
      <w:r w:rsidR="006C0C13" w:rsidRPr="006C0C13">
        <w:rPr>
          <w:rFonts w:asciiTheme="minorHAnsi" w:hAnsiTheme="minorHAnsi" w:cstheme="minorHAnsi"/>
        </w:rPr>
        <w:t xml:space="preserve"> </w:t>
      </w:r>
      <w:r w:rsidR="006C0C13">
        <w:rPr>
          <w:rFonts w:asciiTheme="minorHAnsi" w:hAnsiTheme="minorHAnsi" w:cstheme="minorHAnsi"/>
        </w:rPr>
        <w:t xml:space="preserve">A </w:t>
      </w:r>
      <w:r w:rsidR="006C0C13" w:rsidRPr="00375665">
        <w:rPr>
          <w:rFonts w:asciiTheme="minorHAnsi" w:hAnsiTheme="minorHAnsi" w:cstheme="minorHAnsi"/>
        </w:rPr>
        <w:t>kisértékű tárgyi eszközök bekerülési értékét az üzembe helyezést, használatba vételt követően — az Áhsz. előírásai szerint — eg</w:t>
      </w:r>
      <w:r w:rsidR="006C0C13">
        <w:rPr>
          <w:rFonts w:asciiTheme="minorHAnsi" w:hAnsiTheme="minorHAnsi" w:cstheme="minorHAnsi"/>
        </w:rPr>
        <w:t>y összegben elszámolták</w:t>
      </w:r>
      <w:r w:rsidR="006C0C13" w:rsidRPr="00375665">
        <w:rPr>
          <w:rFonts w:asciiTheme="minorHAnsi" w:hAnsiTheme="minorHAnsi" w:cstheme="minorHAnsi"/>
        </w:rPr>
        <w:t>.</w:t>
      </w:r>
    </w:p>
    <w:p w:rsidR="00E44803" w:rsidRPr="00AA3729" w:rsidRDefault="00035161" w:rsidP="00AA3729">
      <w:pPr>
        <w:spacing w:after="316" w:line="360" w:lineRule="auto"/>
        <w:ind w:left="11" w:right="1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Egyéb állományba vétel címen</w:t>
      </w:r>
      <w:r w:rsidR="00AA3729">
        <w:rPr>
          <w:rFonts w:asciiTheme="minorHAnsi" w:hAnsiTheme="minorHAnsi" w:cstheme="minorHAnsi"/>
        </w:rPr>
        <w:t xml:space="preserve"> 2021. évvégén tulajdonlapi egyeztetéssel</w:t>
      </w:r>
      <w:r>
        <w:rPr>
          <w:rFonts w:asciiTheme="minorHAnsi" w:hAnsiTheme="minorHAnsi" w:cstheme="minorHAnsi"/>
        </w:rPr>
        <w:t xml:space="preserve"> </w:t>
      </w:r>
      <w:r w:rsidR="00AA3729">
        <w:rPr>
          <w:rFonts w:asciiTheme="minorHAnsi" w:hAnsiTheme="minorHAnsi" w:cstheme="minorHAnsi"/>
        </w:rPr>
        <w:t xml:space="preserve">kerültek bevételezésre földterületek, utak </w:t>
      </w:r>
      <w:r w:rsidR="00AA3729">
        <w:t>a</w:t>
      </w:r>
      <w:r w:rsidR="00AA3729">
        <w:rPr>
          <w:rFonts w:asciiTheme="minorHAnsi" w:hAnsiTheme="minorHAnsi" w:cstheme="minorHAnsi"/>
        </w:rPr>
        <w:t xml:space="preserve"> földrendező és a földkiadó bizottságokról szóló 1993. évi II. törvény alapján. </w:t>
      </w:r>
      <w:r w:rsidR="00C10A7C">
        <w:rPr>
          <w:rFonts w:asciiTheme="minorHAnsi" w:hAnsiTheme="minorHAnsi" w:cstheme="minorHAnsi"/>
        </w:rPr>
        <w:t>Kataszter földhivatali egyeztetés során ingatlanbecslő megbízásával ingatlan értékelő lapon dokumentálva, a területek értéke megállapításra került.</w:t>
      </w:r>
    </w:p>
    <w:p w:rsidR="006B7988" w:rsidRPr="00375665" w:rsidRDefault="006B7988" w:rsidP="00375665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75665">
        <w:rPr>
          <w:rFonts w:asciiTheme="minorHAnsi" w:hAnsiTheme="minorHAnsi" w:cstheme="minorHAnsi"/>
          <w:b/>
        </w:rPr>
        <w:t>A belső kontroll rendszer elemeinek értékelése</w:t>
      </w:r>
    </w:p>
    <w:p w:rsidR="005E31F3" w:rsidRPr="00375665" w:rsidRDefault="005E31F3" w:rsidP="0037566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E31F3" w:rsidRPr="00C10A7C" w:rsidRDefault="005E31F3" w:rsidP="00375665">
      <w:pPr>
        <w:spacing w:line="360" w:lineRule="auto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>A belső kontrollrendszer a kockázatok kezelésére és tárgyilagos bizonyosság megszerzése érdekében kialakított folyamatrendszer, amely azt a célt szolgálja, hogy a költségvetési szerv megvalósítsa a következő fő célokat: a költségvetési szerv a működése és gazdálkodása során a tevékenységeket (műveleteket) szabályszerűen, valamint a gazdaságosság, hatékonyság,</w:t>
      </w:r>
      <w:r w:rsidR="00677E62" w:rsidRPr="00375665">
        <w:rPr>
          <w:rFonts w:asciiTheme="minorHAnsi" w:hAnsiTheme="minorHAnsi" w:cstheme="minorHAnsi"/>
        </w:rPr>
        <w:t xml:space="preserve"> </w:t>
      </w:r>
      <w:r w:rsidRPr="00375665">
        <w:rPr>
          <w:rFonts w:asciiTheme="minorHAnsi" w:hAnsiTheme="minorHAnsi" w:cstheme="minorHAnsi"/>
        </w:rPr>
        <w:t>eredményesség követelményével összhangban hajtsa végre, teljesítse az elszámolási kötelezettségeket, és megvédje a szervezet erőforrásait a veszteségektől (károktól) és a nem rendeltetésszerű használattól.</w:t>
      </w:r>
    </w:p>
    <w:p w:rsidR="00CA445A" w:rsidRPr="00EA443C" w:rsidRDefault="00CA445A" w:rsidP="00375665">
      <w:pPr>
        <w:spacing w:line="360" w:lineRule="auto"/>
        <w:ind w:left="9" w:right="9"/>
        <w:jc w:val="both"/>
        <w:rPr>
          <w:rFonts w:asciiTheme="minorHAnsi" w:hAnsiTheme="minorHAnsi" w:cstheme="minorHAnsi"/>
          <w:b/>
        </w:rPr>
      </w:pPr>
      <w:r w:rsidRPr="00EA443C">
        <w:rPr>
          <w:rFonts w:asciiTheme="minorHAnsi" w:hAnsiTheme="minorHAnsi" w:cstheme="minorHAnsi"/>
          <w:b/>
        </w:rPr>
        <w:lastRenderedPageBreak/>
        <w:t>Kontrollkörnyezet</w:t>
      </w:r>
    </w:p>
    <w:p w:rsidR="00CA445A" w:rsidRPr="00375665" w:rsidRDefault="00CA445A" w:rsidP="00375665">
      <w:pPr>
        <w:spacing w:after="312" w:line="360" w:lineRule="auto"/>
        <w:ind w:left="10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>A</w:t>
      </w:r>
      <w:r w:rsidR="00146065">
        <w:rPr>
          <w:rFonts w:asciiTheme="minorHAnsi" w:hAnsiTheme="minorHAnsi" w:cstheme="minorHAnsi"/>
        </w:rPr>
        <w:t xml:space="preserve"> kontrollkörnyezet egyik alapvető eleme a belső szabályozás megfelelőssége és az ellenőrzési nyomvonal megléte. A belső kontrollrendszert a jogszabályok alapján a szervezeti sajátosságok figyelembevételével az Önkormányzat kialakította és működtette. A</w:t>
      </w:r>
      <w:r w:rsidRPr="00375665">
        <w:rPr>
          <w:rFonts w:asciiTheme="minorHAnsi" w:hAnsiTheme="minorHAnsi" w:cstheme="minorHAnsi"/>
        </w:rPr>
        <w:t xml:space="preserve"> vizsgált tevékenység vonatkozásában a</w:t>
      </w:r>
      <w:r w:rsidR="00146065">
        <w:rPr>
          <w:rFonts w:asciiTheme="minorHAnsi" w:hAnsiTheme="minorHAnsi" w:cstheme="minorHAnsi"/>
        </w:rPr>
        <w:t>z ellenőrzési nyomvonal</w:t>
      </w:r>
      <w:r w:rsidRPr="00375665">
        <w:rPr>
          <w:rFonts w:asciiTheme="minorHAnsi" w:hAnsiTheme="minorHAnsi" w:cstheme="minorHAnsi"/>
        </w:rPr>
        <w:t xml:space="preserve"> re</w:t>
      </w:r>
      <w:r w:rsidR="00146065">
        <w:rPr>
          <w:rFonts w:asciiTheme="minorHAnsi" w:hAnsiTheme="minorHAnsi" w:cstheme="minorHAnsi"/>
        </w:rPr>
        <w:t>ndelkezésre állt</w:t>
      </w:r>
      <w:r w:rsidRPr="00375665">
        <w:rPr>
          <w:rFonts w:asciiTheme="minorHAnsi" w:hAnsiTheme="minorHAnsi" w:cstheme="minorHAnsi"/>
        </w:rPr>
        <w:t>.</w:t>
      </w:r>
      <w:r w:rsidR="00146065">
        <w:rPr>
          <w:rFonts w:asciiTheme="minorHAnsi" w:hAnsiTheme="minorHAnsi" w:cstheme="minorHAnsi"/>
        </w:rPr>
        <w:t xml:space="preserve"> Az ellenőrzött területen közreműködő dolgozó munkaköri leírása tartalmazta a végzett feladatokat és felelősségeket.</w:t>
      </w:r>
    </w:p>
    <w:p w:rsidR="00CA445A" w:rsidRPr="00EA443C" w:rsidRDefault="00CA445A" w:rsidP="00375665">
      <w:pPr>
        <w:spacing w:after="19" w:line="360" w:lineRule="auto"/>
        <w:ind w:left="9" w:right="9"/>
        <w:jc w:val="both"/>
        <w:rPr>
          <w:rFonts w:asciiTheme="minorHAnsi" w:hAnsiTheme="minorHAnsi" w:cstheme="minorHAnsi"/>
          <w:b/>
        </w:rPr>
      </w:pPr>
      <w:r w:rsidRPr="00EA443C">
        <w:rPr>
          <w:rFonts w:asciiTheme="minorHAnsi" w:hAnsiTheme="minorHAnsi" w:cstheme="minorHAnsi"/>
          <w:b/>
        </w:rPr>
        <w:t>Integrált kockázatkezelési rendszer</w:t>
      </w:r>
    </w:p>
    <w:p w:rsidR="0020438E" w:rsidRDefault="00CA445A" w:rsidP="004018D0">
      <w:pPr>
        <w:spacing w:after="296" w:line="360" w:lineRule="auto"/>
        <w:contextualSpacing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 xml:space="preserve">A költségvetési szerv vezetője köteles kockázatkezelési rendszert működtetni, melynek során fel kell mérni és meg kell állapítani a költségvetési szerv tevékenységében, gazdálkodásában rejlő kockázatokat, valamint meg kell határozni az egyes kockázatokkal </w:t>
      </w:r>
      <w:r w:rsidRPr="00375665">
        <w:rPr>
          <w:rFonts w:asciiTheme="minorHAnsi" w:eastAsia="Calibri" w:hAnsiTheme="minorHAnsi" w:cstheme="minorHAnsi"/>
        </w:rPr>
        <w:t>kapcsolatban szükséges intézkedéseket, és azok teljesítésének folyamatos nyomon követésének módját</w:t>
      </w:r>
      <w:r w:rsidR="00375665">
        <w:rPr>
          <w:rFonts w:asciiTheme="minorHAnsi" w:eastAsia="Calibri" w:hAnsiTheme="minorHAnsi" w:cstheme="minorHAnsi"/>
        </w:rPr>
        <w:t xml:space="preserve">.       </w:t>
      </w:r>
      <w:r w:rsidR="0020438E" w:rsidRPr="00375665">
        <w:rPr>
          <w:rFonts w:asciiTheme="minorHAnsi" w:hAnsiTheme="minorHAnsi" w:cstheme="minorHAnsi"/>
        </w:rPr>
        <w:t>A kockázatkezelési rendszer kialakítását minden esetben a szervezeti sajátosságokhoz kell adaptálni.</w:t>
      </w:r>
      <w:r w:rsidR="00375665">
        <w:rPr>
          <w:rFonts w:asciiTheme="minorHAnsi" w:eastAsia="Calibri" w:hAnsiTheme="minorHAnsi" w:cstheme="minorHAnsi"/>
        </w:rPr>
        <w:t xml:space="preserve"> </w:t>
      </w:r>
      <w:r w:rsidR="00375665">
        <w:rPr>
          <w:rFonts w:asciiTheme="minorHAnsi" w:hAnsiTheme="minorHAnsi" w:cstheme="minorHAnsi"/>
        </w:rPr>
        <w:t>A belső</w:t>
      </w:r>
      <w:r w:rsidR="0020438E" w:rsidRPr="00375665">
        <w:rPr>
          <w:rFonts w:asciiTheme="minorHAnsi" w:hAnsiTheme="minorHAnsi" w:cstheme="minorHAnsi"/>
        </w:rPr>
        <w:t xml:space="preserve"> kontrollrendszer kiépítésével kapcsolatban — a költségvetési szervek méretének vonatkozásában is határértéknek tekinthetjük az Áht. 10. (4a) bekezdésében meghatározottakat, mely szerint nem rendelkezik gazdasági szervezettel az a költségvetési szerv, amelynek az éves átlagos statiszt</w:t>
      </w:r>
      <w:r w:rsidR="00375665">
        <w:rPr>
          <w:rFonts w:asciiTheme="minorHAnsi" w:hAnsiTheme="minorHAnsi" w:cstheme="minorHAnsi"/>
        </w:rPr>
        <w:t>ikai állományi létszáma a 100 fő</w:t>
      </w:r>
      <w:r w:rsidR="0020438E" w:rsidRPr="00375665">
        <w:rPr>
          <w:rFonts w:asciiTheme="minorHAnsi" w:hAnsiTheme="minorHAnsi" w:cstheme="minorHAnsi"/>
        </w:rPr>
        <w:t>t nem éri el. Az integrált kockázatkezelési rendszer kialakít</w:t>
      </w:r>
      <w:r w:rsidR="00375665">
        <w:rPr>
          <w:rFonts w:asciiTheme="minorHAnsi" w:hAnsiTheme="minorHAnsi" w:cstheme="minorHAnsi"/>
        </w:rPr>
        <w:t>ásának minimum feltételei 100 fő</w:t>
      </w:r>
      <w:r w:rsidR="0020438E" w:rsidRPr="00375665">
        <w:rPr>
          <w:rFonts w:asciiTheme="minorHAnsi" w:hAnsiTheme="minorHAnsi" w:cstheme="minorHAnsi"/>
        </w:rPr>
        <w:t xml:space="preserve"> alatti költségvetési szervek esetén:</w:t>
      </w:r>
    </w:p>
    <w:p w:rsidR="0020438E" w:rsidRPr="00375665" w:rsidRDefault="0020438E" w:rsidP="004018D0">
      <w:pPr>
        <w:pStyle w:val="Listaszerbekezds"/>
        <w:numPr>
          <w:ilvl w:val="0"/>
          <w:numId w:val="24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 w:rsidRPr="00375665">
        <w:rPr>
          <w:rFonts w:asciiTheme="minorHAnsi" w:hAnsiTheme="minorHAnsi" w:cstheme="minorHAnsi"/>
        </w:rPr>
        <w:t>a folyamatokat azonosítani kell, a folyamatleírásokat és az ellenőrzési nyomvonalakat el kell készíteniük — ez teremti meg a kockázatkezelés alapját;</w:t>
      </w:r>
    </w:p>
    <w:p w:rsidR="00375665" w:rsidRPr="00375665" w:rsidRDefault="0020438E" w:rsidP="004018D0">
      <w:pPr>
        <w:pStyle w:val="Listaszerbekezds"/>
        <w:numPr>
          <w:ilvl w:val="0"/>
          <w:numId w:val="24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 w:rsidRPr="00375665">
        <w:rPr>
          <w:rFonts w:asciiTheme="minorHAnsi" w:hAnsiTheme="minorHAnsi" w:cstheme="minorHAnsi"/>
        </w:rPr>
        <w:t xml:space="preserve">rendelkezniük kell kockázatkezelési szabályzattal; </w:t>
      </w:r>
    </w:p>
    <w:p w:rsidR="00375665" w:rsidRPr="00375665" w:rsidRDefault="0020438E" w:rsidP="004018D0">
      <w:pPr>
        <w:pStyle w:val="Listaszerbekezds"/>
        <w:numPr>
          <w:ilvl w:val="0"/>
          <w:numId w:val="24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 w:rsidRPr="00375665">
        <w:rPr>
          <w:rFonts w:asciiTheme="minorHAnsi" w:hAnsiTheme="minorHAnsi" w:cstheme="minorHAnsi"/>
        </w:rPr>
        <w:t>ki kell jelölni a kockázatkezelés koordinálásáért felelős személyt</w:t>
      </w:r>
      <w:r w:rsidR="00375665">
        <w:rPr>
          <w:rFonts w:asciiTheme="minorHAnsi" w:hAnsiTheme="minorHAnsi" w:cstheme="minorHAnsi"/>
        </w:rPr>
        <w:t>;</w:t>
      </w:r>
    </w:p>
    <w:p w:rsidR="00375665" w:rsidRPr="00375665" w:rsidRDefault="0020438E" w:rsidP="00375665">
      <w:pPr>
        <w:pStyle w:val="Listaszerbekezds"/>
        <w:numPr>
          <w:ilvl w:val="0"/>
          <w:numId w:val="24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 w:rsidRPr="00375665">
        <w:rPr>
          <w:rFonts w:asciiTheme="minorHAnsi" w:hAnsiTheme="minorHAnsi" w:cstheme="minorHAnsi"/>
        </w:rPr>
        <w:t>a kockázatok azonosítását és értékelését dokumentálni kell;</w:t>
      </w:r>
    </w:p>
    <w:p w:rsidR="00FA5B86" w:rsidRPr="00FA5B86" w:rsidRDefault="0020438E" w:rsidP="00FA5B86">
      <w:pPr>
        <w:pStyle w:val="Listaszerbekezds"/>
        <w:numPr>
          <w:ilvl w:val="0"/>
          <w:numId w:val="24"/>
        </w:numPr>
        <w:spacing w:after="296" w:line="360" w:lineRule="auto"/>
        <w:jc w:val="both"/>
        <w:rPr>
          <w:rFonts w:asciiTheme="minorHAnsi" w:eastAsia="Calibri" w:hAnsiTheme="minorHAnsi" w:cstheme="minorHAnsi"/>
        </w:rPr>
      </w:pPr>
      <w:r w:rsidRPr="00375665">
        <w:rPr>
          <w:noProof/>
        </w:rPr>
        <w:drawing>
          <wp:inline distT="0" distB="0" distL="0" distR="0" wp14:anchorId="786287D0" wp14:editId="77012049">
            <wp:extent cx="4569" cy="4570"/>
            <wp:effectExtent l="0" t="0" r="0" b="0"/>
            <wp:docPr id="8361" name="Picture 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1" name="Picture 8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665">
        <w:rPr>
          <w:rFonts w:asciiTheme="minorHAnsi" w:hAnsiTheme="minorHAnsi" w:cstheme="minorHAnsi"/>
        </w:rPr>
        <w:t>készíteniük kell integrált kockázatkezelési intézkedési tervet, amit időszakonként (mi</w:t>
      </w:r>
      <w:r w:rsidR="00FA5B86">
        <w:rPr>
          <w:rFonts w:asciiTheme="minorHAnsi" w:hAnsiTheme="minorHAnsi" w:cstheme="minorHAnsi"/>
        </w:rPr>
        <w:t>n. évente) felül kell vizsgálni.</w:t>
      </w:r>
    </w:p>
    <w:p w:rsidR="00FA5B86" w:rsidRPr="00FA5B86" w:rsidRDefault="00FA5B86" w:rsidP="00FA5B86">
      <w:pPr>
        <w:spacing w:after="296"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 vizsgált folyamat tekintetében kockázatelemzést, kockázatértékelést nem végeztek.</w:t>
      </w:r>
    </w:p>
    <w:p w:rsidR="00C10A7C" w:rsidRDefault="00C10A7C" w:rsidP="00375665">
      <w:pPr>
        <w:spacing w:line="360" w:lineRule="auto"/>
        <w:ind w:left="14" w:hanging="10"/>
        <w:jc w:val="both"/>
        <w:rPr>
          <w:rFonts w:asciiTheme="minorHAnsi" w:eastAsia="Calibri" w:hAnsiTheme="minorHAnsi" w:cstheme="minorHAnsi"/>
          <w:b/>
        </w:rPr>
      </w:pPr>
    </w:p>
    <w:p w:rsidR="00C10A7C" w:rsidRDefault="00C10A7C" w:rsidP="00375665">
      <w:pPr>
        <w:spacing w:line="360" w:lineRule="auto"/>
        <w:ind w:left="14" w:hanging="10"/>
        <w:jc w:val="both"/>
        <w:rPr>
          <w:rFonts w:asciiTheme="minorHAnsi" w:eastAsia="Calibri" w:hAnsiTheme="minorHAnsi" w:cstheme="minorHAnsi"/>
          <w:b/>
        </w:rPr>
      </w:pPr>
    </w:p>
    <w:p w:rsidR="00CA445A" w:rsidRPr="00EA443C" w:rsidRDefault="00CA445A" w:rsidP="00375665">
      <w:pPr>
        <w:spacing w:line="360" w:lineRule="auto"/>
        <w:ind w:left="14" w:hanging="10"/>
        <w:jc w:val="both"/>
        <w:rPr>
          <w:rFonts w:asciiTheme="minorHAnsi" w:hAnsiTheme="minorHAnsi" w:cstheme="minorHAnsi"/>
          <w:b/>
        </w:rPr>
      </w:pPr>
      <w:r w:rsidRPr="00EA443C">
        <w:rPr>
          <w:rFonts w:asciiTheme="minorHAnsi" w:eastAsia="Calibri" w:hAnsiTheme="minorHAnsi" w:cstheme="minorHAnsi"/>
          <w:b/>
        </w:rPr>
        <w:lastRenderedPageBreak/>
        <w:t>Kontrolltevékenység</w:t>
      </w:r>
    </w:p>
    <w:p w:rsidR="00CD47EF" w:rsidRDefault="00CA445A" w:rsidP="00375665">
      <w:pPr>
        <w:spacing w:after="261" w:line="360" w:lineRule="auto"/>
        <w:ind w:left="53" w:right="14" w:hanging="10"/>
        <w:jc w:val="both"/>
        <w:rPr>
          <w:rFonts w:asciiTheme="minorHAnsi" w:eastAsia="Calibri" w:hAnsiTheme="minorHAnsi" w:cstheme="minorHAnsi"/>
        </w:rPr>
      </w:pPr>
      <w:r w:rsidRPr="00375665">
        <w:rPr>
          <w:rFonts w:asciiTheme="minorHAnsi" w:eastAsia="Calibri" w:hAnsiTheme="minorHAnsi" w:cstheme="minorHAnsi"/>
        </w:rPr>
        <w:t xml:space="preserve">A </w:t>
      </w:r>
      <w:r w:rsidR="00FA5B86">
        <w:rPr>
          <w:rFonts w:asciiTheme="minorHAnsi" w:eastAsia="Calibri" w:hAnsiTheme="minorHAnsi" w:cstheme="minorHAnsi"/>
        </w:rPr>
        <w:t xml:space="preserve">Bkr. 8. §-a alapján a költségvetési szerv vezetője köteles a szervezeten belül kontrolltevékenységeket kialakítani, melyek biztosítják a kockázatok kezelését, hozzájárulnak a szervezet céljainak eléréséhez, és erősítik </w:t>
      </w:r>
      <w:r w:rsidR="00CD47EF">
        <w:rPr>
          <w:rFonts w:asciiTheme="minorHAnsi" w:eastAsia="Calibri" w:hAnsiTheme="minorHAnsi" w:cstheme="minorHAnsi"/>
        </w:rPr>
        <w:t>a szervezet integritását. A kontrolltevékenység részeként minden tevékenységre vonatkozóan biztosítani kell a szervezeti célok elérését veszélyeztető kockázatok csökkentésére irányuló kontrollok kiépítését.</w:t>
      </w:r>
    </w:p>
    <w:p w:rsidR="00CA445A" w:rsidRPr="00375665" w:rsidRDefault="00CD47EF" w:rsidP="00375665">
      <w:pPr>
        <w:spacing w:after="261" w:line="360" w:lineRule="auto"/>
        <w:ind w:left="53" w:right="14" w:hanging="1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A feladatellátás szabályainak, jogszabályban előírtak betartása</w:t>
      </w:r>
      <w:r w:rsidR="00EA443C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megfelelő kontrollt nyújtott a vizsgált tevékenység tekintetében. A feladatellátás dokumentációi biztosítják a feladatok utólagos ellenőrizhetőségét, áttekinthetőségét. A vizsgált területen a kontrollt</w:t>
      </w:r>
      <w:r w:rsidR="00AA5FFF">
        <w:rPr>
          <w:rFonts w:asciiTheme="minorHAnsi" w:eastAsia="Calibri" w:hAnsiTheme="minorHAnsi" w:cstheme="minorHAnsi"/>
        </w:rPr>
        <w:t>evékenység megfelelően működött</w:t>
      </w:r>
      <w:r w:rsidR="00CA445A" w:rsidRPr="00375665">
        <w:rPr>
          <w:rFonts w:asciiTheme="minorHAnsi" w:eastAsia="Calibri" w:hAnsiTheme="minorHAnsi" w:cstheme="minorHAnsi"/>
        </w:rPr>
        <w:t xml:space="preserve">. </w:t>
      </w:r>
    </w:p>
    <w:p w:rsidR="00A70AE3" w:rsidRPr="00996426" w:rsidRDefault="00CA445A" w:rsidP="00996426">
      <w:pPr>
        <w:spacing w:after="39" w:line="360" w:lineRule="auto"/>
        <w:ind w:left="9" w:right="14"/>
        <w:jc w:val="both"/>
        <w:rPr>
          <w:rFonts w:asciiTheme="minorHAnsi" w:hAnsiTheme="minorHAnsi" w:cstheme="minorHAnsi"/>
          <w:b/>
        </w:rPr>
      </w:pPr>
      <w:r w:rsidRPr="00EA443C">
        <w:rPr>
          <w:rFonts w:asciiTheme="minorHAnsi" w:eastAsia="Calibri" w:hAnsiTheme="minorHAnsi" w:cstheme="minorHAnsi"/>
          <w:b/>
        </w:rPr>
        <w:t>Információs és kommunikációs rendszer</w:t>
      </w:r>
      <w:r w:rsidR="00CD47EF">
        <w:rPr>
          <w:rFonts w:asciiTheme="minorHAnsi" w:eastAsia="Calibri" w:hAnsiTheme="minorHAnsi" w:cstheme="minorHAnsi"/>
        </w:rPr>
        <w:t xml:space="preserve"> </w:t>
      </w:r>
    </w:p>
    <w:p w:rsidR="00E44803" w:rsidRPr="00CD47EF" w:rsidRDefault="00E44803" w:rsidP="00CD47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D47EF">
        <w:rPr>
          <w:rFonts w:asciiTheme="minorHAnsi" w:hAnsiTheme="minorHAnsi" w:cstheme="minorHAnsi"/>
        </w:rPr>
        <w:t>A szervezeten belüli és a külső feleknek történő információ átadásának, valamint</w:t>
      </w:r>
      <w:r w:rsidR="00CD47EF">
        <w:rPr>
          <w:rFonts w:asciiTheme="minorHAnsi" w:hAnsiTheme="minorHAnsi" w:cstheme="minorHAnsi"/>
        </w:rPr>
        <w:t xml:space="preserve"> </w:t>
      </w:r>
      <w:r w:rsidRPr="00CD47EF">
        <w:rPr>
          <w:rFonts w:asciiTheme="minorHAnsi" w:hAnsiTheme="minorHAnsi" w:cstheme="minorHAnsi"/>
        </w:rPr>
        <w:t>a szervezeten kívülről érkező info</w:t>
      </w:r>
      <w:r w:rsidR="00CD47EF">
        <w:rPr>
          <w:rFonts w:asciiTheme="minorHAnsi" w:hAnsiTheme="minorHAnsi" w:cstheme="minorHAnsi"/>
        </w:rPr>
        <w:t xml:space="preserve">rmációk kezelésének rendjét </w:t>
      </w:r>
      <w:r w:rsidRPr="00CD47EF">
        <w:rPr>
          <w:rFonts w:asciiTheme="minorHAnsi" w:hAnsiTheme="minorHAnsi" w:cstheme="minorHAnsi"/>
        </w:rPr>
        <w:t>szabályozták.</w:t>
      </w:r>
      <w:r w:rsidR="00BD5CCF">
        <w:rPr>
          <w:rFonts w:asciiTheme="minorHAnsi" w:hAnsiTheme="minorHAnsi" w:cstheme="minorHAnsi"/>
        </w:rPr>
        <w:t xml:space="preserve"> Kijelölték az elektronikus információs rendszer biztonságáért felelős személyt megbízási szerződés keretében.</w:t>
      </w:r>
    </w:p>
    <w:p w:rsidR="00EA443C" w:rsidRPr="00EA443C" w:rsidRDefault="00A70AE3" w:rsidP="00EA443C">
      <w:pPr>
        <w:spacing w:line="360" w:lineRule="auto"/>
        <w:ind w:right="35"/>
        <w:jc w:val="both"/>
        <w:rPr>
          <w:rFonts w:asciiTheme="minorHAnsi" w:hAnsiTheme="minorHAnsi" w:cstheme="minorHAnsi"/>
        </w:rPr>
      </w:pPr>
      <w:r w:rsidRPr="00EA443C">
        <w:rPr>
          <w:rFonts w:asciiTheme="minorHAnsi" w:hAnsiTheme="minorHAnsi" w:cstheme="minorHAnsi"/>
        </w:rPr>
        <w:t>A szervezeti integritást sértő esemény kezelésének eljá</w:t>
      </w:r>
      <w:r w:rsidR="00EA443C">
        <w:rPr>
          <w:rFonts w:asciiTheme="minorHAnsi" w:hAnsiTheme="minorHAnsi" w:cstheme="minorHAnsi"/>
        </w:rPr>
        <w:t>rásrendjét meghatározták. Az eljárásrend célja, hogy az Önkormányzat működésével összefüggő</w:t>
      </w:r>
      <w:r w:rsidR="00EA443C" w:rsidRPr="00EA443C">
        <w:rPr>
          <w:rFonts w:asciiTheme="minorHAnsi" w:hAnsiTheme="minorHAnsi" w:cstheme="minorHAnsi"/>
        </w:rPr>
        <w:t xml:space="preserve"> visszaélésekre, szabálytalanságokra és integritási, korrupciós kockázatokra vonatkozó bejelentések fogadására és kivizsgálására vonatkozó általános eljárásrend meghatározásával hozzájáruljon a korrupciós kockázatok szervezeten belüli hatékony kezeléséhez, valamint a szervezet korrupcióval szembeni ellenálló képességének jav</w:t>
      </w:r>
      <w:r w:rsidR="00EA443C">
        <w:rPr>
          <w:rFonts w:asciiTheme="minorHAnsi" w:hAnsiTheme="minorHAnsi" w:cstheme="minorHAnsi"/>
        </w:rPr>
        <w:t>ításához, továbbá elő</w:t>
      </w:r>
      <w:r w:rsidR="00EA443C" w:rsidRPr="00EA443C">
        <w:rPr>
          <w:rFonts w:asciiTheme="minorHAnsi" w:hAnsiTheme="minorHAnsi" w:cstheme="minorHAnsi"/>
        </w:rPr>
        <w:t>segíts</w:t>
      </w:r>
      <w:r w:rsidR="00EA443C">
        <w:rPr>
          <w:rFonts w:asciiTheme="minorHAnsi" w:hAnsiTheme="minorHAnsi" w:cstheme="minorHAnsi"/>
        </w:rPr>
        <w:t>e a szabálytalanságok újbóli elő</w:t>
      </w:r>
      <w:r w:rsidR="00EA443C" w:rsidRPr="00EA443C">
        <w:rPr>
          <w:rFonts w:asciiTheme="minorHAnsi" w:hAnsiTheme="minorHAnsi" w:cstheme="minorHAnsi"/>
        </w:rPr>
        <w:t>fordulásának megelőzését.</w:t>
      </w:r>
    </w:p>
    <w:p w:rsidR="00CA445A" w:rsidRPr="00CD47EF" w:rsidRDefault="00A70AE3" w:rsidP="00CD47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Önkormányzat</w:t>
      </w:r>
      <w:r w:rsidR="00E44803" w:rsidRPr="00CD47EF">
        <w:rPr>
          <w:rFonts w:asciiTheme="minorHAnsi" w:hAnsiTheme="minorHAnsi" w:cstheme="minorHAnsi"/>
        </w:rPr>
        <w:t xml:space="preserve"> rendelkezik adatvédelmi szabályzattal. Szabályozták a közérdekű</w:t>
      </w:r>
      <w:r w:rsidR="00CD47EF">
        <w:rPr>
          <w:rFonts w:asciiTheme="minorHAnsi" w:hAnsiTheme="minorHAnsi" w:cstheme="minorHAnsi"/>
        </w:rPr>
        <w:t xml:space="preserve"> </w:t>
      </w:r>
      <w:r w:rsidR="00E44803" w:rsidRPr="00CD47EF">
        <w:rPr>
          <w:rFonts w:asciiTheme="minorHAnsi" w:hAnsiTheme="minorHAnsi" w:cstheme="minorHAnsi"/>
        </w:rPr>
        <w:t>adatok megismerésére irányuló igények teljesítésének rendjét.</w:t>
      </w:r>
    </w:p>
    <w:p w:rsidR="00CD47EF" w:rsidRDefault="00CD47EF" w:rsidP="00375665">
      <w:pPr>
        <w:spacing w:line="360" w:lineRule="auto"/>
        <w:ind w:left="14" w:hanging="10"/>
        <w:jc w:val="both"/>
        <w:rPr>
          <w:rFonts w:asciiTheme="minorHAnsi" w:eastAsia="Calibri" w:hAnsiTheme="minorHAnsi" w:cstheme="minorHAnsi"/>
        </w:rPr>
      </w:pPr>
    </w:p>
    <w:p w:rsidR="00CA445A" w:rsidRPr="00BD5CCF" w:rsidRDefault="00CA445A" w:rsidP="00375665">
      <w:pPr>
        <w:spacing w:line="360" w:lineRule="auto"/>
        <w:ind w:left="14" w:hanging="10"/>
        <w:jc w:val="both"/>
        <w:rPr>
          <w:rFonts w:asciiTheme="minorHAnsi" w:hAnsiTheme="minorHAnsi" w:cstheme="minorHAnsi"/>
          <w:b/>
        </w:rPr>
      </w:pPr>
      <w:r w:rsidRPr="00BD5CCF">
        <w:rPr>
          <w:rFonts w:asciiTheme="minorHAnsi" w:eastAsia="Calibri" w:hAnsiTheme="minorHAnsi" w:cstheme="minorHAnsi"/>
          <w:b/>
        </w:rPr>
        <w:t>Nyomonkövetési (monitoring) rendszer</w:t>
      </w:r>
    </w:p>
    <w:p w:rsidR="00CA445A" w:rsidRPr="00375665" w:rsidRDefault="00206ABE" w:rsidP="00375665">
      <w:pPr>
        <w:spacing w:after="3" w:line="360" w:lineRule="auto"/>
        <w:ind w:left="53" w:right="14" w:hanging="10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 xml:space="preserve">A költségvetési szerv vezetője köteles </w:t>
      </w:r>
      <w:r>
        <w:rPr>
          <w:rFonts w:asciiTheme="minorHAnsi" w:hAnsiTheme="minorHAnsi" w:cstheme="minorHAnsi"/>
        </w:rPr>
        <w:t>olyan</w:t>
      </w:r>
      <w:r w:rsidR="00CA445A" w:rsidRPr="00375665">
        <w:rPr>
          <w:rFonts w:asciiTheme="minorHAnsi" w:eastAsia="Calibri" w:hAnsiTheme="minorHAnsi" w:cstheme="minorHAnsi"/>
        </w:rPr>
        <w:t xml:space="preserve"> monitoring</w:t>
      </w:r>
      <w:r>
        <w:rPr>
          <w:rFonts w:asciiTheme="minorHAnsi" w:eastAsia="Calibri" w:hAnsiTheme="minorHAnsi" w:cstheme="minorHAnsi"/>
        </w:rPr>
        <w:t xml:space="preserve"> </w:t>
      </w:r>
      <w:r w:rsidR="00EA443C">
        <w:rPr>
          <w:rFonts w:asciiTheme="minorHAnsi" w:eastAsia="Calibri" w:hAnsiTheme="minorHAnsi" w:cstheme="minorHAnsi"/>
        </w:rPr>
        <w:t>rendszer</w:t>
      </w:r>
      <w:r>
        <w:rPr>
          <w:rFonts w:asciiTheme="minorHAnsi" w:eastAsia="Calibri" w:hAnsiTheme="minorHAnsi" w:cstheme="minorHAnsi"/>
        </w:rPr>
        <w:t xml:space="preserve">t működtetni, mely lehetővé teszi a szervezet tevékenységének, a célok megvalósításának nyomon követését. A költségvetési szerv monitoring rendszere az operatív tevékenységek keretében megvalósuló folyamatos és eseti nyomon követésből, valamint az operatív tevékenységektől függetlenül </w:t>
      </w:r>
      <w:r>
        <w:rPr>
          <w:rFonts w:asciiTheme="minorHAnsi" w:eastAsia="Calibri" w:hAnsiTheme="minorHAnsi" w:cstheme="minorHAnsi"/>
        </w:rPr>
        <w:lastRenderedPageBreak/>
        <w:t>működő belső ellenőrzésből áll. L</w:t>
      </w:r>
      <w:r w:rsidR="00EA443C">
        <w:rPr>
          <w:rFonts w:asciiTheme="minorHAnsi" w:eastAsia="Calibri" w:hAnsiTheme="minorHAnsi" w:cstheme="minorHAnsi"/>
        </w:rPr>
        <w:t>ehetővé teszi, hogy a belső kontrollrendszer már kialakított folyamatainak eredményes és hatásos működéséről a vezetés pontos, időszerű információt kapjon, a folyamatokat nyomo</w:t>
      </w:r>
      <w:r>
        <w:rPr>
          <w:rFonts w:asciiTheme="minorHAnsi" w:eastAsia="Calibri" w:hAnsiTheme="minorHAnsi" w:cstheme="minorHAnsi"/>
        </w:rPr>
        <w:t xml:space="preserve">n követhesse és értékelhesse. </w:t>
      </w:r>
    </w:p>
    <w:p w:rsidR="00BD5CCF" w:rsidRPr="00BD5CCF" w:rsidRDefault="00CA445A" w:rsidP="00BD5CCF">
      <w:pPr>
        <w:spacing w:after="145" w:line="377" w:lineRule="auto"/>
        <w:ind w:left="17"/>
        <w:jc w:val="both"/>
        <w:rPr>
          <w:rFonts w:asciiTheme="minorHAnsi" w:hAnsiTheme="minorHAnsi" w:cstheme="minorHAnsi"/>
        </w:rPr>
      </w:pPr>
      <w:r w:rsidRPr="00BD5CCF">
        <w:rPr>
          <w:rFonts w:asciiTheme="minorHAnsi" w:eastAsia="Calibri" w:hAnsiTheme="minorHAnsi" w:cstheme="minorHAnsi"/>
        </w:rPr>
        <w:t xml:space="preserve">A belső ellenőrzési feladatokat </w:t>
      </w:r>
      <w:r w:rsidR="00BD5CCF">
        <w:rPr>
          <w:rFonts w:asciiTheme="minorHAnsi" w:hAnsiTheme="minorHAnsi" w:cstheme="minorHAnsi"/>
        </w:rPr>
        <w:t xml:space="preserve">az Önkormányzat </w:t>
      </w:r>
      <w:r w:rsidR="00BD5CCF" w:rsidRPr="00BD5CCF">
        <w:rPr>
          <w:rFonts w:asciiTheme="minorHAnsi" w:hAnsiTheme="minorHAnsi" w:cstheme="minorHAnsi"/>
        </w:rPr>
        <w:t xml:space="preserve">külső szolgáltatóval kötött szerződéssel biztosítja, a nem tervezett soron kívüli vizsgálatra és tanácsadásra írásos megrendeléssel van lehetőség. </w:t>
      </w:r>
    </w:p>
    <w:p w:rsidR="00764F58" w:rsidRPr="00375665" w:rsidRDefault="00764F58" w:rsidP="00AA3729">
      <w:pPr>
        <w:spacing w:line="360" w:lineRule="auto"/>
        <w:jc w:val="both"/>
        <w:rPr>
          <w:rFonts w:asciiTheme="minorHAnsi" w:hAnsiTheme="minorHAnsi" w:cstheme="minorHAnsi"/>
        </w:rPr>
      </w:pPr>
    </w:p>
    <w:p w:rsidR="00764F58" w:rsidRPr="00375665" w:rsidRDefault="00764F58" w:rsidP="00375665">
      <w:pPr>
        <w:spacing w:line="360" w:lineRule="auto"/>
        <w:jc w:val="both"/>
        <w:rPr>
          <w:rFonts w:asciiTheme="minorHAnsi" w:hAnsiTheme="minorHAnsi" w:cstheme="minorHAnsi"/>
        </w:rPr>
      </w:pPr>
    </w:p>
    <w:p w:rsidR="00B72EF6" w:rsidRPr="00375665" w:rsidRDefault="006B7988" w:rsidP="00375665">
      <w:pPr>
        <w:spacing w:line="360" w:lineRule="auto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>Szekszárd, 2022</w:t>
      </w:r>
      <w:r w:rsidR="00BE7C31">
        <w:rPr>
          <w:rFonts w:asciiTheme="minorHAnsi" w:hAnsiTheme="minorHAnsi" w:cstheme="minorHAnsi"/>
        </w:rPr>
        <w:t>. december 9</w:t>
      </w:r>
      <w:bookmarkStart w:id="0" w:name="_GoBack"/>
      <w:bookmarkEnd w:id="0"/>
      <w:r w:rsidR="00E55B22" w:rsidRPr="00375665">
        <w:rPr>
          <w:rFonts w:asciiTheme="minorHAnsi" w:hAnsiTheme="minorHAnsi" w:cstheme="minorHAnsi"/>
        </w:rPr>
        <w:t>.</w:t>
      </w:r>
    </w:p>
    <w:p w:rsidR="00764F58" w:rsidRPr="00375665" w:rsidRDefault="00764F58" w:rsidP="00375665">
      <w:pPr>
        <w:spacing w:line="360" w:lineRule="auto"/>
        <w:jc w:val="both"/>
        <w:rPr>
          <w:rFonts w:asciiTheme="minorHAnsi" w:hAnsiTheme="minorHAnsi" w:cstheme="minorHAnsi"/>
        </w:rPr>
      </w:pPr>
    </w:p>
    <w:p w:rsidR="00E5496D" w:rsidRPr="00375665" w:rsidRDefault="00E5496D" w:rsidP="00375665">
      <w:pPr>
        <w:spacing w:line="360" w:lineRule="auto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 xml:space="preserve">                                                                                                       Balázsné Geier Klára</w:t>
      </w:r>
    </w:p>
    <w:p w:rsidR="00E5496D" w:rsidRPr="00375665" w:rsidRDefault="00E5496D" w:rsidP="00375665">
      <w:pPr>
        <w:spacing w:line="360" w:lineRule="auto"/>
        <w:jc w:val="both"/>
        <w:rPr>
          <w:rFonts w:asciiTheme="minorHAnsi" w:hAnsiTheme="minorHAnsi" w:cstheme="minorHAnsi"/>
        </w:rPr>
      </w:pPr>
      <w:r w:rsidRPr="00375665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0600BC" w:rsidRPr="00375665">
        <w:rPr>
          <w:rFonts w:asciiTheme="minorHAnsi" w:hAnsiTheme="minorHAnsi" w:cstheme="minorHAnsi"/>
        </w:rPr>
        <w:t xml:space="preserve">                        megbízott </w:t>
      </w:r>
      <w:r w:rsidRPr="00375665">
        <w:rPr>
          <w:rFonts w:asciiTheme="minorHAnsi" w:hAnsiTheme="minorHAnsi" w:cstheme="minorHAnsi"/>
        </w:rPr>
        <w:t>belső ellenőr</w:t>
      </w:r>
    </w:p>
    <w:sectPr w:rsidR="00E5496D" w:rsidRPr="00375665" w:rsidSect="003D0C4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57" w:rsidRDefault="00FC0157" w:rsidP="00492FFD">
      <w:r>
        <w:separator/>
      </w:r>
    </w:p>
  </w:endnote>
  <w:endnote w:type="continuationSeparator" w:id="0">
    <w:p w:rsidR="00FC0157" w:rsidRDefault="00FC0157" w:rsidP="0049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D0" w:rsidRDefault="00250FD0">
    <w:pPr>
      <w:spacing w:line="259" w:lineRule="auto"/>
      <w:ind w:right="5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258</w:t>
    </w:r>
    <w:r>
      <w:fldChar w:fldCharType="end"/>
    </w:r>
    <w:r>
      <w:t xml:space="preserve"> </w:t>
    </w:r>
  </w:p>
  <w:p w:rsidR="00250FD0" w:rsidRDefault="00250FD0">
    <w:pPr>
      <w:spacing w:line="259" w:lineRule="auto"/>
      <w:ind w:left="-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10411"/>
      <w:docPartObj>
        <w:docPartGallery w:val="Page Numbers (Bottom of Page)"/>
        <w:docPartUnique/>
      </w:docPartObj>
    </w:sdtPr>
    <w:sdtEndPr/>
    <w:sdtContent>
      <w:p w:rsidR="00250FD0" w:rsidRDefault="00250F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2A">
          <w:rPr>
            <w:noProof/>
          </w:rPr>
          <w:t>2</w:t>
        </w:r>
        <w:r>
          <w:fldChar w:fldCharType="end"/>
        </w:r>
      </w:p>
    </w:sdtContent>
  </w:sdt>
  <w:p w:rsidR="00250FD0" w:rsidRDefault="00250FD0">
    <w:pPr>
      <w:spacing w:line="259" w:lineRule="auto"/>
      <w:ind w:lef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D0" w:rsidRDefault="00250FD0" w:rsidP="00906962">
    <w:pPr>
      <w:spacing w:line="259" w:lineRule="auto"/>
      <w:ind w:right="55"/>
    </w:pPr>
  </w:p>
  <w:p w:rsidR="00250FD0" w:rsidRDefault="00250FD0">
    <w:pPr>
      <w:spacing w:line="259" w:lineRule="auto"/>
      <w:ind w:left="-2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D" w:rsidRDefault="00100E2D">
    <w:pPr>
      <w:ind w:left="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15F29">
      <w:rPr>
        <w:noProof/>
        <w:sz w:val="20"/>
      </w:rPr>
      <w:t>12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D" w:rsidRDefault="00100E2D">
    <w:pPr>
      <w:ind w:left="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C31" w:rsidRPr="00BE7C31">
      <w:rPr>
        <w:noProof/>
        <w:sz w:val="20"/>
      </w:rPr>
      <w:t>7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D" w:rsidRDefault="00100E2D">
    <w:pPr>
      <w:ind w:left="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90157"/>
      <w:docPartObj>
        <w:docPartGallery w:val="Page Numbers (Bottom of Page)"/>
        <w:docPartUnique/>
      </w:docPartObj>
    </w:sdtPr>
    <w:sdtEndPr/>
    <w:sdtContent>
      <w:p w:rsidR="00250FD0" w:rsidRDefault="00250F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31">
          <w:rPr>
            <w:noProof/>
          </w:rPr>
          <w:t>11</w:t>
        </w:r>
        <w:r>
          <w:fldChar w:fldCharType="end"/>
        </w:r>
      </w:p>
    </w:sdtContent>
  </w:sdt>
  <w:p w:rsidR="00250FD0" w:rsidRDefault="00250F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57" w:rsidRDefault="00FC0157" w:rsidP="00492FFD">
      <w:r>
        <w:separator/>
      </w:r>
    </w:p>
  </w:footnote>
  <w:footnote w:type="continuationSeparator" w:id="0">
    <w:p w:rsidR="00FC0157" w:rsidRDefault="00FC0157" w:rsidP="0049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D0" w:rsidRDefault="00250FD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D0" w:rsidRDefault="00250FD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D0" w:rsidRDefault="00250FD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3.5pt;height:2.25pt" coordsize="" o:spt="100" o:bullet="t" adj="0,,0" path="" stroked="f">
        <v:stroke joinstyle="miter"/>
        <v:imagedata r:id="rId1" o:title="image110"/>
        <v:formulas/>
        <v:path o:connecttype="segments"/>
      </v:shape>
    </w:pict>
  </w:numPicBullet>
  <w:abstractNum w:abstractNumId="0" w15:restartNumberingAfterBreak="0">
    <w:nsid w:val="06E64678"/>
    <w:multiLevelType w:val="hybridMultilevel"/>
    <w:tmpl w:val="75CEE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49C"/>
    <w:multiLevelType w:val="hybridMultilevel"/>
    <w:tmpl w:val="8026D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2D8"/>
    <w:multiLevelType w:val="hybridMultilevel"/>
    <w:tmpl w:val="2618D27E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031517"/>
    <w:multiLevelType w:val="hybridMultilevel"/>
    <w:tmpl w:val="71F072D6"/>
    <w:lvl w:ilvl="0" w:tplc="F4EC8C3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E4F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44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81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806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2B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F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94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31557"/>
    <w:multiLevelType w:val="hybridMultilevel"/>
    <w:tmpl w:val="BC28F59C"/>
    <w:lvl w:ilvl="0" w:tplc="E8FC94BC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EB1F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C6C98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87F4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CF78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A1842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6AB6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08D3E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C1C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E1D71"/>
    <w:multiLevelType w:val="hybridMultilevel"/>
    <w:tmpl w:val="E76A901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CE7949"/>
    <w:multiLevelType w:val="hybridMultilevel"/>
    <w:tmpl w:val="4EACB67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C4152D"/>
    <w:multiLevelType w:val="hybridMultilevel"/>
    <w:tmpl w:val="212E2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E7C"/>
    <w:multiLevelType w:val="hybridMultilevel"/>
    <w:tmpl w:val="F1169E32"/>
    <w:lvl w:ilvl="0" w:tplc="5D947C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4699"/>
    <w:multiLevelType w:val="hybridMultilevel"/>
    <w:tmpl w:val="3154E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4B"/>
    <w:multiLevelType w:val="hybridMultilevel"/>
    <w:tmpl w:val="E398C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90A"/>
    <w:multiLevelType w:val="hybridMultilevel"/>
    <w:tmpl w:val="EF10F59A"/>
    <w:lvl w:ilvl="0" w:tplc="A852B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F5FD6"/>
    <w:multiLevelType w:val="hybridMultilevel"/>
    <w:tmpl w:val="9F66A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5178"/>
    <w:multiLevelType w:val="hybridMultilevel"/>
    <w:tmpl w:val="6F0824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5512BC"/>
    <w:multiLevelType w:val="hybridMultilevel"/>
    <w:tmpl w:val="E66C5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364BB"/>
    <w:multiLevelType w:val="hybridMultilevel"/>
    <w:tmpl w:val="5054FE0A"/>
    <w:lvl w:ilvl="0" w:tplc="040E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 w15:restartNumberingAfterBreak="0">
    <w:nsid w:val="57180CCE"/>
    <w:multiLevelType w:val="hybridMultilevel"/>
    <w:tmpl w:val="E97CF204"/>
    <w:lvl w:ilvl="0" w:tplc="3A6457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E9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78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4CD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C5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78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66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C12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24F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F5B30"/>
    <w:multiLevelType w:val="hybridMultilevel"/>
    <w:tmpl w:val="D520B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0555"/>
    <w:multiLevelType w:val="hybridMultilevel"/>
    <w:tmpl w:val="A07AD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377F"/>
    <w:multiLevelType w:val="hybridMultilevel"/>
    <w:tmpl w:val="EBC6A4B4"/>
    <w:lvl w:ilvl="0" w:tplc="254C5AA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32629C"/>
    <w:multiLevelType w:val="hybridMultilevel"/>
    <w:tmpl w:val="A96E654E"/>
    <w:lvl w:ilvl="0" w:tplc="EA126A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96D6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A5016">
      <w:start w:val="1"/>
      <w:numFmt w:val="bullet"/>
      <w:lvlRestart w:val="0"/>
      <w:lvlText w:val="•"/>
      <w:lvlPicBulletId w:val="0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4501C">
      <w:start w:val="1"/>
      <w:numFmt w:val="bullet"/>
      <w:lvlText w:val="•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EB726">
      <w:start w:val="1"/>
      <w:numFmt w:val="bullet"/>
      <w:lvlText w:val="o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47B16">
      <w:start w:val="1"/>
      <w:numFmt w:val="bullet"/>
      <w:lvlText w:val="▪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050E2">
      <w:start w:val="1"/>
      <w:numFmt w:val="bullet"/>
      <w:lvlText w:val="•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2BAE4">
      <w:start w:val="1"/>
      <w:numFmt w:val="bullet"/>
      <w:lvlText w:val="o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19C4">
      <w:start w:val="1"/>
      <w:numFmt w:val="bullet"/>
      <w:lvlText w:val="▪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3D0AC2"/>
    <w:multiLevelType w:val="hybridMultilevel"/>
    <w:tmpl w:val="B738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5A5"/>
    <w:multiLevelType w:val="hybridMultilevel"/>
    <w:tmpl w:val="21C61B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059CB"/>
    <w:multiLevelType w:val="hybridMultilevel"/>
    <w:tmpl w:val="25B02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4735A"/>
    <w:multiLevelType w:val="hybridMultilevel"/>
    <w:tmpl w:val="430CB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7"/>
  </w:num>
  <w:num w:numId="8">
    <w:abstractNumId w:val="13"/>
  </w:num>
  <w:num w:numId="9">
    <w:abstractNumId w:val="21"/>
  </w:num>
  <w:num w:numId="10">
    <w:abstractNumId w:val="15"/>
  </w:num>
  <w:num w:numId="11">
    <w:abstractNumId w:val="2"/>
  </w:num>
  <w:num w:numId="12">
    <w:abstractNumId w:val="1"/>
  </w:num>
  <w:num w:numId="13">
    <w:abstractNumId w:val="24"/>
  </w:num>
  <w:num w:numId="14">
    <w:abstractNumId w:val="6"/>
  </w:num>
  <w:num w:numId="15">
    <w:abstractNumId w:val="0"/>
  </w:num>
  <w:num w:numId="16">
    <w:abstractNumId w:val="8"/>
  </w:num>
  <w:num w:numId="17">
    <w:abstractNumId w:val="22"/>
  </w:num>
  <w:num w:numId="18">
    <w:abstractNumId w:val="7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18"/>
  </w:num>
  <w:num w:numId="24">
    <w:abstractNumId w:val="12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C"/>
    <w:rsid w:val="00000E1B"/>
    <w:rsid w:val="0001502E"/>
    <w:rsid w:val="000160F4"/>
    <w:rsid w:val="00016803"/>
    <w:rsid w:val="00020A70"/>
    <w:rsid w:val="0002286F"/>
    <w:rsid w:val="00026191"/>
    <w:rsid w:val="000266C6"/>
    <w:rsid w:val="000307A0"/>
    <w:rsid w:val="00035161"/>
    <w:rsid w:val="00035857"/>
    <w:rsid w:val="00047D6F"/>
    <w:rsid w:val="000600BC"/>
    <w:rsid w:val="000658E0"/>
    <w:rsid w:val="00067C5E"/>
    <w:rsid w:val="00067E3F"/>
    <w:rsid w:val="00073B4C"/>
    <w:rsid w:val="000748EF"/>
    <w:rsid w:val="000860E2"/>
    <w:rsid w:val="00090A8B"/>
    <w:rsid w:val="00090CB4"/>
    <w:rsid w:val="000A0F90"/>
    <w:rsid w:val="000A26EE"/>
    <w:rsid w:val="000A2D24"/>
    <w:rsid w:val="000A6B57"/>
    <w:rsid w:val="000B04AD"/>
    <w:rsid w:val="000B1958"/>
    <w:rsid w:val="000B23F6"/>
    <w:rsid w:val="000B2876"/>
    <w:rsid w:val="000B4024"/>
    <w:rsid w:val="000B660C"/>
    <w:rsid w:val="000B7042"/>
    <w:rsid w:val="000C1331"/>
    <w:rsid w:val="000C2C85"/>
    <w:rsid w:val="000D2943"/>
    <w:rsid w:val="000D3340"/>
    <w:rsid w:val="000E2904"/>
    <w:rsid w:val="000E4A43"/>
    <w:rsid w:val="000E63A9"/>
    <w:rsid w:val="000F213E"/>
    <w:rsid w:val="000F367A"/>
    <w:rsid w:val="000F45E0"/>
    <w:rsid w:val="00100E2D"/>
    <w:rsid w:val="00107FE9"/>
    <w:rsid w:val="00110475"/>
    <w:rsid w:val="00110E33"/>
    <w:rsid w:val="00115759"/>
    <w:rsid w:val="00117246"/>
    <w:rsid w:val="00120950"/>
    <w:rsid w:val="001236BF"/>
    <w:rsid w:val="00127DB3"/>
    <w:rsid w:val="00131E16"/>
    <w:rsid w:val="001356DB"/>
    <w:rsid w:val="00136A01"/>
    <w:rsid w:val="00143242"/>
    <w:rsid w:val="00144DAD"/>
    <w:rsid w:val="00146065"/>
    <w:rsid w:val="00147EB6"/>
    <w:rsid w:val="00157627"/>
    <w:rsid w:val="001636A0"/>
    <w:rsid w:val="00165444"/>
    <w:rsid w:val="00174597"/>
    <w:rsid w:val="00175BF5"/>
    <w:rsid w:val="00177B6A"/>
    <w:rsid w:val="00180518"/>
    <w:rsid w:val="0019289A"/>
    <w:rsid w:val="00194F4B"/>
    <w:rsid w:val="00195685"/>
    <w:rsid w:val="00196B37"/>
    <w:rsid w:val="001A1922"/>
    <w:rsid w:val="001A2A54"/>
    <w:rsid w:val="001A69BF"/>
    <w:rsid w:val="001A75A2"/>
    <w:rsid w:val="001B035F"/>
    <w:rsid w:val="001C057A"/>
    <w:rsid w:val="001C48B8"/>
    <w:rsid w:val="001C69D9"/>
    <w:rsid w:val="001D11B4"/>
    <w:rsid w:val="001D40EF"/>
    <w:rsid w:val="001E01FA"/>
    <w:rsid w:val="001E2E06"/>
    <w:rsid w:val="001E4813"/>
    <w:rsid w:val="001E64C7"/>
    <w:rsid w:val="001F33EC"/>
    <w:rsid w:val="001F3F62"/>
    <w:rsid w:val="001F53F0"/>
    <w:rsid w:val="0020438E"/>
    <w:rsid w:val="00206ABE"/>
    <w:rsid w:val="002078FE"/>
    <w:rsid w:val="002102D7"/>
    <w:rsid w:val="002134B9"/>
    <w:rsid w:val="00222302"/>
    <w:rsid w:val="00226268"/>
    <w:rsid w:val="00227278"/>
    <w:rsid w:val="00230720"/>
    <w:rsid w:val="00233C60"/>
    <w:rsid w:val="00234BDD"/>
    <w:rsid w:val="002358E7"/>
    <w:rsid w:val="00244073"/>
    <w:rsid w:val="00245A8F"/>
    <w:rsid w:val="0025071C"/>
    <w:rsid w:val="00250FD0"/>
    <w:rsid w:val="00255DCD"/>
    <w:rsid w:val="0025796B"/>
    <w:rsid w:val="00260FE1"/>
    <w:rsid w:val="00262A6A"/>
    <w:rsid w:val="00272340"/>
    <w:rsid w:val="002725CE"/>
    <w:rsid w:val="002725DA"/>
    <w:rsid w:val="00277C6D"/>
    <w:rsid w:val="002818FA"/>
    <w:rsid w:val="00285ED1"/>
    <w:rsid w:val="00290441"/>
    <w:rsid w:val="0029084F"/>
    <w:rsid w:val="0029284A"/>
    <w:rsid w:val="0029741F"/>
    <w:rsid w:val="002A00A0"/>
    <w:rsid w:val="002A0F00"/>
    <w:rsid w:val="002A1BB4"/>
    <w:rsid w:val="002A4BBF"/>
    <w:rsid w:val="002A7C52"/>
    <w:rsid w:val="002B2FBF"/>
    <w:rsid w:val="002C24B5"/>
    <w:rsid w:val="002E1819"/>
    <w:rsid w:val="002E1C64"/>
    <w:rsid w:val="002E3539"/>
    <w:rsid w:val="002E5556"/>
    <w:rsid w:val="002E6945"/>
    <w:rsid w:val="002E69E8"/>
    <w:rsid w:val="002F2E9F"/>
    <w:rsid w:val="002F32D2"/>
    <w:rsid w:val="002F58E6"/>
    <w:rsid w:val="002F5BAC"/>
    <w:rsid w:val="00300270"/>
    <w:rsid w:val="0030041C"/>
    <w:rsid w:val="003008F1"/>
    <w:rsid w:val="00307E3A"/>
    <w:rsid w:val="0031479D"/>
    <w:rsid w:val="00314818"/>
    <w:rsid w:val="00316077"/>
    <w:rsid w:val="003172A0"/>
    <w:rsid w:val="00320F41"/>
    <w:rsid w:val="00322660"/>
    <w:rsid w:val="00322F46"/>
    <w:rsid w:val="003236A0"/>
    <w:rsid w:val="00324370"/>
    <w:rsid w:val="003256C2"/>
    <w:rsid w:val="00337703"/>
    <w:rsid w:val="00342D50"/>
    <w:rsid w:val="00343F97"/>
    <w:rsid w:val="00344F76"/>
    <w:rsid w:val="0034562D"/>
    <w:rsid w:val="0034665E"/>
    <w:rsid w:val="003467E7"/>
    <w:rsid w:val="00346F54"/>
    <w:rsid w:val="00352814"/>
    <w:rsid w:val="00360405"/>
    <w:rsid w:val="0036692D"/>
    <w:rsid w:val="00371CEC"/>
    <w:rsid w:val="00375665"/>
    <w:rsid w:val="00377EC1"/>
    <w:rsid w:val="003805A4"/>
    <w:rsid w:val="00393A25"/>
    <w:rsid w:val="0039536B"/>
    <w:rsid w:val="003A14EC"/>
    <w:rsid w:val="003B14E8"/>
    <w:rsid w:val="003B4D6D"/>
    <w:rsid w:val="003B5450"/>
    <w:rsid w:val="003B6A64"/>
    <w:rsid w:val="003B6A86"/>
    <w:rsid w:val="003B7344"/>
    <w:rsid w:val="003C08F8"/>
    <w:rsid w:val="003C5717"/>
    <w:rsid w:val="003C6E01"/>
    <w:rsid w:val="003C7F41"/>
    <w:rsid w:val="003D0C4B"/>
    <w:rsid w:val="003D1F86"/>
    <w:rsid w:val="003D292B"/>
    <w:rsid w:val="003D4152"/>
    <w:rsid w:val="003D713A"/>
    <w:rsid w:val="003D7334"/>
    <w:rsid w:val="003D7F33"/>
    <w:rsid w:val="003E1CCF"/>
    <w:rsid w:val="003E22A5"/>
    <w:rsid w:val="003E3580"/>
    <w:rsid w:val="003F253A"/>
    <w:rsid w:val="00400AAF"/>
    <w:rsid w:val="004018D0"/>
    <w:rsid w:val="00414FB5"/>
    <w:rsid w:val="00416E09"/>
    <w:rsid w:val="00424850"/>
    <w:rsid w:val="0044069D"/>
    <w:rsid w:val="00464277"/>
    <w:rsid w:val="00465F94"/>
    <w:rsid w:val="0047038D"/>
    <w:rsid w:val="00471434"/>
    <w:rsid w:val="00471609"/>
    <w:rsid w:val="004816EB"/>
    <w:rsid w:val="004821F6"/>
    <w:rsid w:val="0048435E"/>
    <w:rsid w:val="0048558D"/>
    <w:rsid w:val="00486769"/>
    <w:rsid w:val="00490613"/>
    <w:rsid w:val="00492AB7"/>
    <w:rsid w:val="00492FFD"/>
    <w:rsid w:val="004945A0"/>
    <w:rsid w:val="00496FAA"/>
    <w:rsid w:val="004A7C07"/>
    <w:rsid w:val="004B72BB"/>
    <w:rsid w:val="004C52FF"/>
    <w:rsid w:val="004C5A12"/>
    <w:rsid w:val="004C6877"/>
    <w:rsid w:val="004D151D"/>
    <w:rsid w:val="004D1E5E"/>
    <w:rsid w:val="004D3869"/>
    <w:rsid w:val="004D57E7"/>
    <w:rsid w:val="004E07E2"/>
    <w:rsid w:val="004F4013"/>
    <w:rsid w:val="0050736A"/>
    <w:rsid w:val="00510093"/>
    <w:rsid w:val="0051409E"/>
    <w:rsid w:val="00516497"/>
    <w:rsid w:val="00522327"/>
    <w:rsid w:val="00522F51"/>
    <w:rsid w:val="00523007"/>
    <w:rsid w:val="00525CC2"/>
    <w:rsid w:val="00527400"/>
    <w:rsid w:val="005353F2"/>
    <w:rsid w:val="005354FD"/>
    <w:rsid w:val="00535D77"/>
    <w:rsid w:val="00541F23"/>
    <w:rsid w:val="005437DE"/>
    <w:rsid w:val="005449D7"/>
    <w:rsid w:val="0054711A"/>
    <w:rsid w:val="00550002"/>
    <w:rsid w:val="00552DBB"/>
    <w:rsid w:val="005550B1"/>
    <w:rsid w:val="00560816"/>
    <w:rsid w:val="00571A72"/>
    <w:rsid w:val="005725CB"/>
    <w:rsid w:val="00574CA0"/>
    <w:rsid w:val="00582866"/>
    <w:rsid w:val="00584718"/>
    <w:rsid w:val="00592ED9"/>
    <w:rsid w:val="00593CDD"/>
    <w:rsid w:val="005A1DB7"/>
    <w:rsid w:val="005A23B2"/>
    <w:rsid w:val="005A5802"/>
    <w:rsid w:val="005A7D9D"/>
    <w:rsid w:val="005B3198"/>
    <w:rsid w:val="005B4560"/>
    <w:rsid w:val="005B538E"/>
    <w:rsid w:val="005D6E40"/>
    <w:rsid w:val="005D7AEC"/>
    <w:rsid w:val="005E1750"/>
    <w:rsid w:val="005E31F3"/>
    <w:rsid w:val="005E4E2E"/>
    <w:rsid w:val="005E5E99"/>
    <w:rsid w:val="005E77BB"/>
    <w:rsid w:val="005F4A8C"/>
    <w:rsid w:val="00600509"/>
    <w:rsid w:val="006065B5"/>
    <w:rsid w:val="00613431"/>
    <w:rsid w:val="006179C0"/>
    <w:rsid w:val="00622F44"/>
    <w:rsid w:val="00622FD6"/>
    <w:rsid w:val="00624D13"/>
    <w:rsid w:val="00625041"/>
    <w:rsid w:val="00625164"/>
    <w:rsid w:val="00625F97"/>
    <w:rsid w:val="006275DD"/>
    <w:rsid w:val="006329F1"/>
    <w:rsid w:val="00634511"/>
    <w:rsid w:val="006401FF"/>
    <w:rsid w:val="006416AA"/>
    <w:rsid w:val="0065513D"/>
    <w:rsid w:val="00661CC1"/>
    <w:rsid w:val="00662FE6"/>
    <w:rsid w:val="0066427D"/>
    <w:rsid w:val="0067224B"/>
    <w:rsid w:val="0067329C"/>
    <w:rsid w:val="0067518A"/>
    <w:rsid w:val="00677E62"/>
    <w:rsid w:val="00685085"/>
    <w:rsid w:val="00697C71"/>
    <w:rsid w:val="006A0B8E"/>
    <w:rsid w:val="006A26DD"/>
    <w:rsid w:val="006A5D34"/>
    <w:rsid w:val="006B7988"/>
    <w:rsid w:val="006C0C13"/>
    <w:rsid w:val="006C1C99"/>
    <w:rsid w:val="006C2326"/>
    <w:rsid w:val="006D0912"/>
    <w:rsid w:val="006D56AF"/>
    <w:rsid w:val="006D5AEA"/>
    <w:rsid w:val="006E4826"/>
    <w:rsid w:val="006F3857"/>
    <w:rsid w:val="006F7868"/>
    <w:rsid w:val="0070446E"/>
    <w:rsid w:val="007048FD"/>
    <w:rsid w:val="00707474"/>
    <w:rsid w:val="00707DE5"/>
    <w:rsid w:val="00707F8F"/>
    <w:rsid w:val="0071063C"/>
    <w:rsid w:val="00713B0E"/>
    <w:rsid w:val="00714E37"/>
    <w:rsid w:val="007170C6"/>
    <w:rsid w:val="00720AA3"/>
    <w:rsid w:val="00722D42"/>
    <w:rsid w:val="0072382E"/>
    <w:rsid w:val="00725B25"/>
    <w:rsid w:val="00736F12"/>
    <w:rsid w:val="00752426"/>
    <w:rsid w:val="00754989"/>
    <w:rsid w:val="00754F30"/>
    <w:rsid w:val="00754F34"/>
    <w:rsid w:val="00757A62"/>
    <w:rsid w:val="007628E7"/>
    <w:rsid w:val="00764569"/>
    <w:rsid w:val="00764F58"/>
    <w:rsid w:val="0077193B"/>
    <w:rsid w:val="007815EC"/>
    <w:rsid w:val="00781F41"/>
    <w:rsid w:val="007823BC"/>
    <w:rsid w:val="007827F6"/>
    <w:rsid w:val="00782D0B"/>
    <w:rsid w:val="00782E6B"/>
    <w:rsid w:val="00784BEF"/>
    <w:rsid w:val="0079727E"/>
    <w:rsid w:val="007A22AB"/>
    <w:rsid w:val="007B0C2A"/>
    <w:rsid w:val="007B32AD"/>
    <w:rsid w:val="007B7800"/>
    <w:rsid w:val="007C4168"/>
    <w:rsid w:val="007C53CD"/>
    <w:rsid w:val="007D271F"/>
    <w:rsid w:val="007D6369"/>
    <w:rsid w:val="007E4BA6"/>
    <w:rsid w:val="007F0997"/>
    <w:rsid w:val="007F4315"/>
    <w:rsid w:val="007F524F"/>
    <w:rsid w:val="007F7AB0"/>
    <w:rsid w:val="00804D93"/>
    <w:rsid w:val="00811325"/>
    <w:rsid w:val="00817805"/>
    <w:rsid w:val="00821403"/>
    <w:rsid w:val="00824DDF"/>
    <w:rsid w:val="00826A88"/>
    <w:rsid w:val="0083126B"/>
    <w:rsid w:val="00833F29"/>
    <w:rsid w:val="0083422F"/>
    <w:rsid w:val="00837074"/>
    <w:rsid w:val="00840616"/>
    <w:rsid w:val="008441CF"/>
    <w:rsid w:val="0084525E"/>
    <w:rsid w:val="00852289"/>
    <w:rsid w:val="00853AE4"/>
    <w:rsid w:val="00857276"/>
    <w:rsid w:val="0085729C"/>
    <w:rsid w:val="00866103"/>
    <w:rsid w:val="00873803"/>
    <w:rsid w:val="00874097"/>
    <w:rsid w:val="008749CC"/>
    <w:rsid w:val="00886168"/>
    <w:rsid w:val="00890055"/>
    <w:rsid w:val="00891961"/>
    <w:rsid w:val="00892827"/>
    <w:rsid w:val="00895D97"/>
    <w:rsid w:val="008B0E12"/>
    <w:rsid w:val="008B3476"/>
    <w:rsid w:val="008B7674"/>
    <w:rsid w:val="008B77E3"/>
    <w:rsid w:val="008C30BF"/>
    <w:rsid w:val="008D05A7"/>
    <w:rsid w:val="008D683B"/>
    <w:rsid w:val="008D6CE5"/>
    <w:rsid w:val="008E7B27"/>
    <w:rsid w:val="008F1F71"/>
    <w:rsid w:val="008F2736"/>
    <w:rsid w:val="00902F2D"/>
    <w:rsid w:val="00903214"/>
    <w:rsid w:val="00903366"/>
    <w:rsid w:val="00906962"/>
    <w:rsid w:val="009072CB"/>
    <w:rsid w:val="00910915"/>
    <w:rsid w:val="00914A6A"/>
    <w:rsid w:val="00914C46"/>
    <w:rsid w:val="00916DCA"/>
    <w:rsid w:val="0093208C"/>
    <w:rsid w:val="009414BC"/>
    <w:rsid w:val="00945E2F"/>
    <w:rsid w:val="00946D8C"/>
    <w:rsid w:val="00952F3D"/>
    <w:rsid w:val="009557E9"/>
    <w:rsid w:val="00960339"/>
    <w:rsid w:val="00961A3F"/>
    <w:rsid w:val="0096670D"/>
    <w:rsid w:val="00967423"/>
    <w:rsid w:val="00967B2A"/>
    <w:rsid w:val="00974481"/>
    <w:rsid w:val="009779E6"/>
    <w:rsid w:val="009842DA"/>
    <w:rsid w:val="00986ED9"/>
    <w:rsid w:val="009877EA"/>
    <w:rsid w:val="0099241D"/>
    <w:rsid w:val="00995937"/>
    <w:rsid w:val="00996426"/>
    <w:rsid w:val="00997819"/>
    <w:rsid w:val="009A5052"/>
    <w:rsid w:val="009B07A2"/>
    <w:rsid w:val="009B2C11"/>
    <w:rsid w:val="009B2ECB"/>
    <w:rsid w:val="009B6884"/>
    <w:rsid w:val="009C04BB"/>
    <w:rsid w:val="009C0E1C"/>
    <w:rsid w:val="009C3A04"/>
    <w:rsid w:val="009D2249"/>
    <w:rsid w:val="009D401D"/>
    <w:rsid w:val="009D5559"/>
    <w:rsid w:val="009E658F"/>
    <w:rsid w:val="009E7943"/>
    <w:rsid w:val="009F1D6A"/>
    <w:rsid w:val="009F4904"/>
    <w:rsid w:val="009F5936"/>
    <w:rsid w:val="00A0154E"/>
    <w:rsid w:val="00A032AB"/>
    <w:rsid w:val="00A117A1"/>
    <w:rsid w:val="00A17B8F"/>
    <w:rsid w:val="00A27A1F"/>
    <w:rsid w:val="00A27B95"/>
    <w:rsid w:val="00A31C83"/>
    <w:rsid w:val="00A34AA5"/>
    <w:rsid w:val="00A3540F"/>
    <w:rsid w:val="00A361B7"/>
    <w:rsid w:val="00A46A34"/>
    <w:rsid w:val="00A51677"/>
    <w:rsid w:val="00A545EB"/>
    <w:rsid w:val="00A54A18"/>
    <w:rsid w:val="00A56801"/>
    <w:rsid w:val="00A56B29"/>
    <w:rsid w:val="00A57362"/>
    <w:rsid w:val="00A631D8"/>
    <w:rsid w:val="00A651A5"/>
    <w:rsid w:val="00A65955"/>
    <w:rsid w:val="00A678C2"/>
    <w:rsid w:val="00A70AE3"/>
    <w:rsid w:val="00A761A0"/>
    <w:rsid w:val="00A80A93"/>
    <w:rsid w:val="00A826C5"/>
    <w:rsid w:val="00A858E4"/>
    <w:rsid w:val="00A95557"/>
    <w:rsid w:val="00A9583C"/>
    <w:rsid w:val="00AA3729"/>
    <w:rsid w:val="00AA5FFF"/>
    <w:rsid w:val="00AA630A"/>
    <w:rsid w:val="00AA725D"/>
    <w:rsid w:val="00AA79CA"/>
    <w:rsid w:val="00AB3CBC"/>
    <w:rsid w:val="00AB4012"/>
    <w:rsid w:val="00AB559D"/>
    <w:rsid w:val="00AB587F"/>
    <w:rsid w:val="00AC3F0C"/>
    <w:rsid w:val="00AC50D3"/>
    <w:rsid w:val="00AC71E6"/>
    <w:rsid w:val="00AD15DD"/>
    <w:rsid w:val="00AE2595"/>
    <w:rsid w:val="00AE500A"/>
    <w:rsid w:val="00AE5AAE"/>
    <w:rsid w:val="00AE631D"/>
    <w:rsid w:val="00AE73B0"/>
    <w:rsid w:val="00AF49E5"/>
    <w:rsid w:val="00AF7A16"/>
    <w:rsid w:val="00AF7CCD"/>
    <w:rsid w:val="00B005B2"/>
    <w:rsid w:val="00B006A9"/>
    <w:rsid w:val="00B05F4D"/>
    <w:rsid w:val="00B13320"/>
    <w:rsid w:val="00B254E6"/>
    <w:rsid w:val="00B26BA1"/>
    <w:rsid w:val="00B30A63"/>
    <w:rsid w:val="00B32A0C"/>
    <w:rsid w:val="00B34965"/>
    <w:rsid w:val="00B34C94"/>
    <w:rsid w:val="00B41110"/>
    <w:rsid w:val="00B44DFD"/>
    <w:rsid w:val="00B4658A"/>
    <w:rsid w:val="00B516D1"/>
    <w:rsid w:val="00B51E89"/>
    <w:rsid w:val="00B5310A"/>
    <w:rsid w:val="00B5415C"/>
    <w:rsid w:val="00B63317"/>
    <w:rsid w:val="00B66F74"/>
    <w:rsid w:val="00B67C5F"/>
    <w:rsid w:val="00B67EE3"/>
    <w:rsid w:val="00B71BF8"/>
    <w:rsid w:val="00B7238D"/>
    <w:rsid w:val="00B72EF6"/>
    <w:rsid w:val="00B75F9D"/>
    <w:rsid w:val="00B8371F"/>
    <w:rsid w:val="00B85A61"/>
    <w:rsid w:val="00B85BA6"/>
    <w:rsid w:val="00B933EA"/>
    <w:rsid w:val="00BA0F55"/>
    <w:rsid w:val="00BA2C6A"/>
    <w:rsid w:val="00BA3D74"/>
    <w:rsid w:val="00BA6D77"/>
    <w:rsid w:val="00BB54BD"/>
    <w:rsid w:val="00BB7529"/>
    <w:rsid w:val="00BC16D4"/>
    <w:rsid w:val="00BC2BFA"/>
    <w:rsid w:val="00BC3874"/>
    <w:rsid w:val="00BD34F2"/>
    <w:rsid w:val="00BD5CCF"/>
    <w:rsid w:val="00BE1968"/>
    <w:rsid w:val="00BE69FE"/>
    <w:rsid w:val="00BE7C31"/>
    <w:rsid w:val="00BF11E6"/>
    <w:rsid w:val="00BF4630"/>
    <w:rsid w:val="00BF7A92"/>
    <w:rsid w:val="00C039BD"/>
    <w:rsid w:val="00C05962"/>
    <w:rsid w:val="00C0668F"/>
    <w:rsid w:val="00C1019F"/>
    <w:rsid w:val="00C10A7C"/>
    <w:rsid w:val="00C12960"/>
    <w:rsid w:val="00C1355A"/>
    <w:rsid w:val="00C13A8B"/>
    <w:rsid w:val="00C1606A"/>
    <w:rsid w:val="00C20B09"/>
    <w:rsid w:val="00C212E4"/>
    <w:rsid w:val="00C256B3"/>
    <w:rsid w:val="00C260B4"/>
    <w:rsid w:val="00C27ED0"/>
    <w:rsid w:val="00C30D4F"/>
    <w:rsid w:val="00C3797C"/>
    <w:rsid w:val="00C40FC4"/>
    <w:rsid w:val="00C4675B"/>
    <w:rsid w:val="00C5537B"/>
    <w:rsid w:val="00C633CB"/>
    <w:rsid w:val="00C65629"/>
    <w:rsid w:val="00C727EE"/>
    <w:rsid w:val="00C7758B"/>
    <w:rsid w:val="00C80FA9"/>
    <w:rsid w:val="00C92575"/>
    <w:rsid w:val="00C94FAC"/>
    <w:rsid w:val="00C97E8D"/>
    <w:rsid w:val="00CA1E65"/>
    <w:rsid w:val="00CA445A"/>
    <w:rsid w:val="00CB3203"/>
    <w:rsid w:val="00CB345D"/>
    <w:rsid w:val="00CC0044"/>
    <w:rsid w:val="00CC0F41"/>
    <w:rsid w:val="00CC284E"/>
    <w:rsid w:val="00CC7530"/>
    <w:rsid w:val="00CD40CE"/>
    <w:rsid w:val="00CD47EF"/>
    <w:rsid w:val="00CD5E90"/>
    <w:rsid w:val="00CD66FC"/>
    <w:rsid w:val="00CE77D3"/>
    <w:rsid w:val="00CE7C71"/>
    <w:rsid w:val="00CF0909"/>
    <w:rsid w:val="00CF4652"/>
    <w:rsid w:val="00CF5718"/>
    <w:rsid w:val="00CF64AA"/>
    <w:rsid w:val="00D1311B"/>
    <w:rsid w:val="00D16E04"/>
    <w:rsid w:val="00D22F5E"/>
    <w:rsid w:val="00D23605"/>
    <w:rsid w:val="00D25DC7"/>
    <w:rsid w:val="00D31173"/>
    <w:rsid w:val="00D31AF1"/>
    <w:rsid w:val="00D31F10"/>
    <w:rsid w:val="00D3274B"/>
    <w:rsid w:val="00D358CB"/>
    <w:rsid w:val="00D41A6C"/>
    <w:rsid w:val="00D45756"/>
    <w:rsid w:val="00D72924"/>
    <w:rsid w:val="00D76816"/>
    <w:rsid w:val="00D803C8"/>
    <w:rsid w:val="00D80575"/>
    <w:rsid w:val="00D838B6"/>
    <w:rsid w:val="00D8719A"/>
    <w:rsid w:val="00D87C8D"/>
    <w:rsid w:val="00D91156"/>
    <w:rsid w:val="00D9196C"/>
    <w:rsid w:val="00D96321"/>
    <w:rsid w:val="00D9762B"/>
    <w:rsid w:val="00DA10D8"/>
    <w:rsid w:val="00DA1953"/>
    <w:rsid w:val="00DA7923"/>
    <w:rsid w:val="00DB4D7A"/>
    <w:rsid w:val="00DB5D26"/>
    <w:rsid w:val="00DC0948"/>
    <w:rsid w:val="00DC37D8"/>
    <w:rsid w:val="00DC67C6"/>
    <w:rsid w:val="00DC7673"/>
    <w:rsid w:val="00DD050F"/>
    <w:rsid w:val="00DD398F"/>
    <w:rsid w:val="00DD4A98"/>
    <w:rsid w:val="00DE76C5"/>
    <w:rsid w:val="00DF0895"/>
    <w:rsid w:val="00E03B8D"/>
    <w:rsid w:val="00E04574"/>
    <w:rsid w:val="00E0459C"/>
    <w:rsid w:val="00E06761"/>
    <w:rsid w:val="00E14F7F"/>
    <w:rsid w:val="00E16C1B"/>
    <w:rsid w:val="00E2013E"/>
    <w:rsid w:val="00E21B9B"/>
    <w:rsid w:val="00E21D15"/>
    <w:rsid w:val="00E24673"/>
    <w:rsid w:val="00E26EBA"/>
    <w:rsid w:val="00E27B8A"/>
    <w:rsid w:val="00E379AA"/>
    <w:rsid w:val="00E44803"/>
    <w:rsid w:val="00E53E65"/>
    <w:rsid w:val="00E5496D"/>
    <w:rsid w:val="00E55B22"/>
    <w:rsid w:val="00E56B72"/>
    <w:rsid w:val="00E633F9"/>
    <w:rsid w:val="00E636FF"/>
    <w:rsid w:val="00E66787"/>
    <w:rsid w:val="00E70DAF"/>
    <w:rsid w:val="00E71053"/>
    <w:rsid w:val="00E7201C"/>
    <w:rsid w:val="00E73250"/>
    <w:rsid w:val="00E77ABF"/>
    <w:rsid w:val="00E833D9"/>
    <w:rsid w:val="00E9196D"/>
    <w:rsid w:val="00E93895"/>
    <w:rsid w:val="00E94E9B"/>
    <w:rsid w:val="00EA443C"/>
    <w:rsid w:val="00EA5165"/>
    <w:rsid w:val="00EB3E60"/>
    <w:rsid w:val="00EB42E7"/>
    <w:rsid w:val="00EB4AE6"/>
    <w:rsid w:val="00EB66DA"/>
    <w:rsid w:val="00EC124D"/>
    <w:rsid w:val="00EC1698"/>
    <w:rsid w:val="00EC2569"/>
    <w:rsid w:val="00ED39D3"/>
    <w:rsid w:val="00ED7479"/>
    <w:rsid w:val="00EE045C"/>
    <w:rsid w:val="00EF12CB"/>
    <w:rsid w:val="00EF2A7F"/>
    <w:rsid w:val="00F037AF"/>
    <w:rsid w:val="00F0477E"/>
    <w:rsid w:val="00F07C1D"/>
    <w:rsid w:val="00F110E8"/>
    <w:rsid w:val="00F14EB0"/>
    <w:rsid w:val="00F214F0"/>
    <w:rsid w:val="00F22815"/>
    <w:rsid w:val="00F26DB8"/>
    <w:rsid w:val="00F3416D"/>
    <w:rsid w:val="00F40E45"/>
    <w:rsid w:val="00F44ACC"/>
    <w:rsid w:val="00F45E70"/>
    <w:rsid w:val="00F468FD"/>
    <w:rsid w:val="00F47A71"/>
    <w:rsid w:val="00F578FE"/>
    <w:rsid w:val="00F57998"/>
    <w:rsid w:val="00F608D9"/>
    <w:rsid w:val="00F624A2"/>
    <w:rsid w:val="00F645F1"/>
    <w:rsid w:val="00F701DE"/>
    <w:rsid w:val="00F70B0A"/>
    <w:rsid w:val="00F74B03"/>
    <w:rsid w:val="00F7562F"/>
    <w:rsid w:val="00F758B1"/>
    <w:rsid w:val="00F75A59"/>
    <w:rsid w:val="00F76834"/>
    <w:rsid w:val="00F83346"/>
    <w:rsid w:val="00F84DC9"/>
    <w:rsid w:val="00F87156"/>
    <w:rsid w:val="00F90994"/>
    <w:rsid w:val="00F90ABE"/>
    <w:rsid w:val="00FA2A82"/>
    <w:rsid w:val="00FA3DD6"/>
    <w:rsid w:val="00FA41EC"/>
    <w:rsid w:val="00FA5B86"/>
    <w:rsid w:val="00FB7E28"/>
    <w:rsid w:val="00FC0157"/>
    <w:rsid w:val="00FC6241"/>
    <w:rsid w:val="00FC674B"/>
    <w:rsid w:val="00FC6D8B"/>
    <w:rsid w:val="00FD117E"/>
    <w:rsid w:val="00FD178E"/>
    <w:rsid w:val="00FD2FAC"/>
    <w:rsid w:val="00FD363A"/>
    <w:rsid w:val="00FD481D"/>
    <w:rsid w:val="00FD6FDD"/>
    <w:rsid w:val="00FD787C"/>
    <w:rsid w:val="00FE25C5"/>
    <w:rsid w:val="00FE2B95"/>
    <w:rsid w:val="00FE3EBE"/>
    <w:rsid w:val="00FE5544"/>
    <w:rsid w:val="00FE5F97"/>
    <w:rsid w:val="00FF3078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56ADE"/>
  <w15:docId w15:val="{97F7D459-01E5-4EB2-812E-FAAA175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C4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6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71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371CEC"/>
    <w:pPr>
      <w:spacing w:before="360" w:after="360" w:line="480" w:lineRule="atLeast"/>
      <w:outlineLvl w:val="2"/>
    </w:pPr>
    <w:rPr>
      <w:rFonts w:ascii="Fira Sans" w:hAnsi="Fira Sans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5A0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D7F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F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2F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FF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2F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2FFD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67B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67B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67B2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67B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67B2A"/>
    <w:rPr>
      <w:b/>
      <w:bCs/>
    </w:rPr>
  </w:style>
  <w:style w:type="paragraph" w:customStyle="1" w:styleId="footnotedescription">
    <w:name w:val="footnote description"/>
    <w:next w:val="Norml"/>
    <w:link w:val="footnotedescriptionChar"/>
    <w:hidden/>
    <w:rsid w:val="00180518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80518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80518"/>
    <w:rPr>
      <w:rFonts w:ascii="Calibri" w:eastAsia="Calibri" w:hAnsi="Calibri" w:cs="Calibri"/>
      <w:color w:val="000000"/>
      <w:sz w:val="20"/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1019F"/>
    <w:rPr>
      <w:strike w:val="0"/>
      <w:dstrike w:val="0"/>
      <w:color w:val="0072BC"/>
      <w:u w:val="none"/>
      <w:effect w:val="none"/>
      <w:shd w:val="clear" w:color="auto" w:fill="auto"/>
    </w:rPr>
  </w:style>
  <w:style w:type="character" w:customStyle="1" w:styleId="Cmsor3Char">
    <w:name w:val="Címsor 3 Char"/>
    <w:basedOn w:val="Bekezdsalapbettpusa"/>
    <w:link w:val="Cmsor3"/>
    <w:uiPriority w:val="9"/>
    <w:rsid w:val="00371CEC"/>
    <w:rPr>
      <w:rFonts w:ascii="Fira Sans" w:hAnsi="Fira Sans"/>
      <w:sz w:val="36"/>
      <w:szCs w:val="36"/>
    </w:rPr>
  </w:style>
  <w:style w:type="character" w:customStyle="1" w:styleId="Cmsor2Char">
    <w:name w:val="Címsor 2 Char"/>
    <w:basedOn w:val="Bekezdsalapbettpusa"/>
    <w:link w:val="Cmsor2"/>
    <w:rsid w:val="00371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Web">
    <w:name w:val="Normal (Web)"/>
    <w:basedOn w:val="Norml"/>
    <w:uiPriority w:val="99"/>
    <w:unhideWhenUsed/>
    <w:rsid w:val="00DC37D8"/>
    <w:pPr>
      <w:spacing w:after="20"/>
      <w:ind w:firstLine="180"/>
      <w:jc w:val="both"/>
    </w:pPr>
  </w:style>
  <w:style w:type="paragraph" w:customStyle="1" w:styleId="CharCharCharChar">
    <w:name w:val="Char Char Char Char"/>
    <w:basedOn w:val="Norml"/>
    <w:rsid w:val="00ED7479"/>
    <w:pPr>
      <w:overflowPunct w:val="0"/>
      <w:autoSpaceDE w:val="0"/>
      <w:autoSpaceDN w:val="0"/>
      <w:adjustRightInd w:val="0"/>
      <w:spacing w:before="120" w:afterLines="50" w:after="160" w:line="240" w:lineRule="exact"/>
      <w:ind w:left="180"/>
      <w:textAlignment w:val="baseline"/>
    </w:pPr>
    <w:rPr>
      <w:rFonts w:ascii="Verdana" w:hAnsi="Verdana" w:cs="Verdana"/>
      <w:bCs/>
      <w:noProof/>
      <w:sz w:val="20"/>
      <w:szCs w:val="20"/>
      <w:lang w:val="en-US" w:eastAsia="en-US"/>
    </w:rPr>
  </w:style>
  <w:style w:type="table" w:styleId="Rcsostblzat">
    <w:name w:val="Table Grid"/>
    <w:basedOn w:val="Normltblzat"/>
    <w:rsid w:val="00D7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75F9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SzvegtrzsChar">
    <w:name w:val="Szövegtörzs Char"/>
    <w:basedOn w:val="Bekezdsalapbettpusa"/>
    <w:link w:val="Szvegtrzs"/>
    <w:rsid w:val="00B75F9D"/>
    <w:rPr>
      <w:rFonts w:eastAsia="Lucida Sans Unicode"/>
      <w:kern w:val="1"/>
      <w:sz w:val="24"/>
      <w:szCs w:val="24"/>
    </w:rPr>
  </w:style>
  <w:style w:type="paragraph" w:customStyle="1" w:styleId="Char">
    <w:name w:val="Char"/>
    <w:basedOn w:val="Norml"/>
    <w:rsid w:val="00B75F9D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0">
    <w:name w:val="Char"/>
    <w:basedOn w:val="Norml"/>
    <w:rsid w:val="00F47A71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">
    <w:name w:val="Char"/>
    <w:basedOn w:val="Norml"/>
    <w:rsid w:val="00226268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table" w:customStyle="1" w:styleId="TableGrid">
    <w:name w:val="TableGrid"/>
    <w:rsid w:val="00100E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rsid w:val="00A56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6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5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9EBB-8AAC-4CD6-9B26-A6E7D870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2154</Words>
  <Characters>14869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program</vt:lpstr>
    </vt:vector>
  </TitlesOfParts>
  <Company>WXPEE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program</dc:title>
  <dc:creator>Balázsné</dc:creator>
  <cp:lastModifiedBy>Lenovo</cp:lastModifiedBy>
  <cp:revision>3</cp:revision>
  <cp:lastPrinted>2019-11-22T11:11:00Z</cp:lastPrinted>
  <dcterms:created xsi:type="dcterms:W3CDTF">2022-12-10T07:49:00Z</dcterms:created>
  <dcterms:modified xsi:type="dcterms:W3CDTF">2022-12-10T07:54:00Z</dcterms:modified>
</cp:coreProperties>
</file>