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61" w:rsidRPr="009F2A42" w:rsidRDefault="00EE0961" w:rsidP="009F2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harc</w:t>
      </w:r>
      <w:r w:rsidRPr="009F2A42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község Önkormányzata Képviselő-testületének </w:t>
      </w:r>
    </w:p>
    <w:p w:rsidR="00EE0961" w:rsidRDefault="00EE0961" w:rsidP="009F2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8</w:t>
      </w:r>
      <w:r w:rsidRPr="009F2A42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/2013. (VIII.</w:t>
      </w: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1</w:t>
      </w:r>
      <w:r w:rsidRPr="009F2A42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.) önkormányzati rendelete </w:t>
      </w:r>
    </w:p>
    <w:p w:rsidR="00EE0961" w:rsidRDefault="00EE0961" w:rsidP="00F1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 w:rsidRPr="009F2A42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az önkormányzat tulajdonában álló közterületek filmforgatási célú IGÉNYBEVÉTELÉRŐL</w:t>
      </w:r>
      <w:r>
        <w:rPr>
          <w:rStyle w:val="FootnoteReference"/>
          <w:b/>
        </w:rPr>
        <w:footnoteReference w:id="1"/>
      </w:r>
      <w:r w:rsidRPr="009F2A42"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</w:t>
      </w:r>
      <w:r w:rsidRPr="005921B8">
        <w:rPr>
          <w:rStyle w:val="FootnoteReference"/>
          <w:rFonts w:ascii="Times New Roman félkövér" w:hAnsi="Times New Roman félkövér"/>
          <w:bCs/>
          <w:caps/>
          <w:sz w:val="26"/>
          <w:szCs w:val="26"/>
          <w:lang w:eastAsia="hu-HU"/>
        </w:rPr>
        <w:footnoteReference w:id="2"/>
      </w: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 xml:space="preserve"> </w:t>
      </w:r>
      <w:r>
        <w:rPr>
          <w:rStyle w:val="FootnoteReference"/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footnoteReference w:id="3"/>
      </w:r>
    </w:p>
    <w:p w:rsidR="00EE0961" w:rsidRDefault="00EE0961" w:rsidP="00F1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</w:p>
    <w:p w:rsidR="00EE0961" w:rsidRPr="009F2A42" w:rsidRDefault="00EE0961" w:rsidP="00F1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  <w:r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  <w:t>(egységes szerkezetben)</w:t>
      </w:r>
    </w:p>
    <w:p w:rsidR="00EE0961" w:rsidRPr="009F2A42" w:rsidRDefault="00EE0961" w:rsidP="009F2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élkövér" w:hAnsi="Times New Roman félkövér"/>
          <w:b/>
          <w:bCs/>
          <w:caps/>
          <w:sz w:val="26"/>
          <w:szCs w:val="26"/>
          <w:lang w:eastAsia="hu-HU"/>
        </w:rPr>
      </w:pPr>
    </w:p>
    <w:p w:rsidR="00EE0961" w:rsidRPr="009F2A42" w:rsidRDefault="00EE0961" w:rsidP="009F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EE0961" w:rsidRPr="009F2A42" w:rsidRDefault="00EE0961" w:rsidP="00C9033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Harc</w:t>
      </w:r>
      <w:r w:rsidRPr="009F2A42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Község Önkormányzata Képviselő-testülete </w:t>
      </w:r>
      <w:r w:rsidRPr="009F2A42">
        <w:rPr>
          <w:rFonts w:ascii="Times New Roman" w:hAnsi="Times New Roman"/>
          <w:sz w:val="24"/>
          <w:szCs w:val="24"/>
        </w:rPr>
        <w:t xml:space="preserve">Magyarország Alaptörvényének 32. cikke (1) bekezdésében biztosított jogkörében eljárva, </w:t>
      </w:r>
      <w:r w:rsidRPr="009F2A42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Magyarország helyi önkormányzatairól szóló 2011. évi CLXXXIX törvény 42. § (1) bekezdésében kapott felhatalmazás alapján, a mozgóképekről szóló 2004. évi II. törvény 37. § (4) bekezdésében kapott felhatalmazás alapján a következőket rendeli el </w:t>
      </w:r>
      <w:r w:rsidRPr="009F2A42">
        <w:rPr>
          <w:rFonts w:ascii="Times New Roman" w:hAnsi="Times New Roman"/>
          <w:sz w:val="24"/>
          <w:szCs w:val="24"/>
          <w:lang w:eastAsia="hu-HU"/>
        </w:rPr>
        <w:t>a közterületek filmforgatási célú igénybevételéről:</w:t>
      </w:r>
    </w:p>
    <w:p w:rsidR="00EE0961" w:rsidRPr="009F2A42" w:rsidRDefault="00EE0961" w:rsidP="009F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EE0961" w:rsidRPr="009F2A42" w:rsidRDefault="00EE0961" w:rsidP="009F2A42">
      <w:pPr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§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(l) A közterület filmforgatási célú igénybevételére </w:t>
      </w:r>
      <w:r>
        <w:rPr>
          <w:rFonts w:ascii="Times New Roman" w:hAnsi="Times New Roman"/>
          <w:sz w:val="24"/>
          <w:szCs w:val="24"/>
          <w:lang w:eastAsia="hu-HU"/>
        </w:rPr>
        <w:t>Harc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 község közigazgatási területén e rendelet rendelkezéseit kell alkalmazni.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(2) A közterület filmforgatási célú igénybevétele a 90 napot nem haladhatja meg.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(3) A közterület filmforgatási célú igénybevétele, akár ugyanazon, vagy különböző engedélyes által forgatott film esetében, ugyanazon időintervallum alatt összességében a 3000 m</w:t>
      </w:r>
      <w:r w:rsidRPr="009F2A42">
        <w:rPr>
          <w:rFonts w:ascii="Times New Roman" w:hAnsi="Times New Roman"/>
          <w:sz w:val="24"/>
          <w:szCs w:val="24"/>
          <w:vertAlign w:val="superscript"/>
          <w:lang w:eastAsia="hu-HU"/>
        </w:rPr>
        <w:t>2</w:t>
      </w:r>
      <w:r w:rsidRPr="009F2A42">
        <w:rPr>
          <w:rFonts w:ascii="Times New Roman" w:hAnsi="Times New Roman"/>
          <w:sz w:val="24"/>
          <w:szCs w:val="24"/>
          <w:lang w:eastAsia="hu-HU"/>
        </w:rPr>
        <w:t>-t nem haladhatja meg.</w:t>
      </w:r>
    </w:p>
    <w:p w:rsidR="00EE0961" w:rsidRDefault="00EE0961" w:rsidP="009F2A4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2. §</w:t>
      </w:r>
    </w:p>
    <w:p w:rsidR="00EE0961" w:rsidRPr="009F2A42" w:rsidRDefault="00EE0961" w:rsidP="009F2A4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(l) Közmű üzemzavara elhárításának szükségessége, vagy helyre nem hozható károsodással fenyegető helyzet (továbbiakban együtt: kárral fenyegető helyzet) esetén önkormányzati döntés alapján az engedélyes a közterület, vagy annak a kárral fenyegetett helyzettel érintett része igénybevételét a döntés kézbesítésétől számított legkésőbb három órán belül megszünteti. 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(2) A kárral fenyegető helyzet elhárítását követően legkésőbb három napon belül a közterület használatot biztosítani kell.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(3) Rendkívüli természeti esemény esetén az (l) bekezdés szabályait kell alkalmazni.</w:t>
      </w:r>
    </w:p>
    <w:p w:rsidR="00EE0961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 (4) A közterület filmforgatási célú igénybevételére a rendkívüli természeti esemény megszűnését, vagy, ha a rendkívüli természeti esemény a természetes, vagy épített környezetet érintően olyan következményekkel járt, amely alól a település közigazgatási területét, vagy egy részét mentesíteni kell, a mentesítés befejezését követően legkésőbb 30 napon belül a közterület használatot biztosítani kell.</w:t>
      </w:r>
    </w:p>
    <w:p w:rsidR="00EE0961" w:rsidRPr="009F2A42" w:rsidRDefault="00EE0961" w:rsidP="009F2A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9F2A4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3. §</w:t>
      </w:r>
    </w:p>
    <w:p w:rsidR="00EE0961" w:rsidRPr="00D20A71" w:rsidRDefault="00EE0961" w:rsidP="00D20A71">
      <w:pPr>
        <w:pStyle w:val="ListParagraph"/>
        <w:numPr>
          <w:ilvl w:val="0"/>
          <w:numId w:val="10"/>
        </w:numPr>
        <w:spacing w:after="12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20A71">
        <w:rPr>
          <w:rFonts w:ascii="Times New Roman" w:hAnsi="Times New Roman"/>
          <w:sz w:val="24"/>
          <w:szCs w:val="24"/>
          <w:lang w:eastAsia="hu-HU"/>
        </w:rPr>
        <w:t xml:space="preserve">A közterület filmforgatási célú igénybevétele szempontjából a képviselő-testület Harc Község közigazgatási területén turisztikailag kiemelt közterületet nem állapít meg. A közterület filmforgatási célú igénybevételéért fizetendő díj megállapítására a mozgóképről szóló törvény rendelkezései az irányadóak. </w:t>
      </w:r>
    </w:p>
    <w:p w:rsidR="00EE0961" w:rsidRPr="008E15BD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(2)</w:t>
      </w:r>
      <w:r w:rsidRPr="002D070C">
        <w:rPr>
          <w:b/>
        </w:rPr>
        <w:t xml:space="preserve"> </w:t>
      </w:r>
      <w:r>
        <w:rPr>
          <w:rStyle w:val="FootnoteReference"/>
          <w:b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8E15BD">
        <w:rPr>
          <w:rFonts w:ascii="Times New Roman" w:hAnsi="Times New Roman"/>
          <w:sz w:val="24"/>
          <w:szCs w:val="24"/>
          <w:lang w:eastAsia="hu-HU"/>
        </w:rPr>
        <w:t xml:space="preserve">A közterület filmforgatási célú igénybevételéért fizetendő díj: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2"/>
        <w:gridCol w:w="1512"/>
        <w:gridCol w:w="1512"/>
        <w:gridCol w:w="1512"/>
        <w:gridCol w:w="1512"/>
        <w:gridCol w:w="1514"/>
      </w:tblGrid>
      <w:tr w:rsidR="00EE0961" w:rsidRPr="008E15BD" w:rsidTr="00601BAA"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Forgatási terület</w:t>
            </w:r>
          </w:p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Ft/m2/nap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Technikai terület</w:t>
            </w:r>
          </w:p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Ft/m2/nap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Stábparkolási terület</w:t>
            </w:r>
          </w:p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Ft/m2/nap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Kiürítési terület</w:t>
            </w:r>
          </w:p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Ft/m2/nap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Forgalomtech-nikai biztonsági terület Ft/m2/nap</w:t>
            </w:r>
          </w:p>
        </w:tc>
      </w:tr>
      <w:tr w:rsidR="00EE0961" w:rsidRPr="008E15BD" w:rsidTr="00601BAA"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Egész napra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208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156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10</w:t>
            </w:r>
          </w:p>
        </w:tc>
      </w:tr>
      <w:tr w:rsidR="00EE0961" w:rsidRPr="008E15BD" w:rsidTr="00601BAA"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Töredéknap esetén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0961" w:rsidRPr="008E15BD" w:rsidRDefault="00EE0961" w:rsidP="008E15BD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E15BD"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</w:tbl>
    <w:p w:rsidR="00EE0961" w:rsidRPr="008E15BD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E15BD">
        <w:rPr>
          <w:rFonts w:ascii="Times New Roman" w:hAnsi="Times New Roman"/>
          <w:sz w:val="24"/>
          <w:szCs w:val="24"/>
          <w:lang w:eastAsia="hu-HU"/>
        </w:rPr>
        <w:t>ahol:</w:t>
      </w:r>
    </w:p>
    <w:p w:rsidR="00EE0961" w:rsidRPr="008E15BD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  <w:sectPr w:rsidR="00EE0961" w:rsidRPr="008E15BD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r w:rsidRPr="008E15BD">
        <w:rPr>
          <w:rFonts w:ascii="Times New Roman" w:hAnsi="Times New Roman"/>
          <w:sz w:val="24"/>
          <w:szCs w:val="24"/>
          <w:lang w:eastAsia="hu-HU"/>
        </w:rPr>
        <w:t xml:space="preserve">a) forgalomtechnika biztonsági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közútkezelője által elfogadott forgalomtechnikai terv alapján kerül meghatározásra. </w:t>
      </w:r>
    </w:p>
    <w:p w:rsidR="00EE0961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E15BD">
        <w:rPr>
          <w:rFonts w:ascii="Times New Roman" w:hAnsi="Times New Roman"/>
          <w:sz w:val="24"/>
          <w:szCs w:val="24"/>
          <w:lang w:eastAsia="hu-HU"/>
        </w:rPr>
        <w:t xml:space="preserve">b) forgatási terület: A filmforgatás során a felvételi képmezőben szereplő színészek, egyéb közreműködők, díszletelemek, berendezési tárgyak, kellékek, járművek által elfoglalt terület. </w:t>
      </w:r>
    </w:p>
    <w:p w:rsidR="00EE0961" w:rsidRDefault="00EE0961" w:rsidP="008E15BD">
      <w:pPr>
        <w:tabs>
          <w:tab w:val="left" w:pos="378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E15BD">
        <w:rPr>
          <w:rFonts w:ascii="Times New Roman" w:hAnsi="Times New Roman"/>
          <w:sz w:val="24"/>
          <w:szCs w:val="24"/>
          <w:lang w:eastAsia="hu-HU"/>
        </w:rPr>
        <w:t xml:space="preserve">c) kiürítési terület: A </w:t>
      </w:r>
      <w:hyperlink r:id="rId8" w:anchor="sid665344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b)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, </w:t>
      </w:r>
      <w:hyperlink r:id="rId9" w:anchor="sid666368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d)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 és </w:t>
      </w:r>
      <w:hyperlink r:id="rId10" w:anchor="sid666880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e) pont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 szerinti kategóriákba tartozó területeken, a filmforgatási napot megelőző napon, kifejezetten a filmforgatási, technikai, illetve a parkolási terület kiürítésének szándékával igénybe vett terület, amennyiben a területen a </w:t>
      </w:r>
      <w:hyperlink r:id="rId11" w:anchor="sid666368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d) pont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 szerinti tevékenységen kívül más nem történik. </w:t>
      </w:r>
    </w:p>
    <w:p w:rsidR="00EE0961" w:rsidRDefault="00EE0961" w:rsidP="008E15BD">
      <w:pPr>
        <w:tabs>
          <w:tab w:val="left" w:pos="3780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E15BD">
        <w:rPr>
          <w:rFonts w:ascii="Times New Roman" w:hAnsi="Times New Roman"/>
          <w:sz w:val="24"/>
          <w:szCs w:val="24"/>
          <w:lang w:eastAsia="hu-HU"/>
        </w:rPr>
        <w:t xml:space="preserve">d) stábparkolási terület: A </w:t>
      </w:r>
      <w:hyperlink r:id="rId12" w:anchor="sid665344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b)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 és </w:t>
      </w:r>
      <w:hyperlink r:id="rId13" w:anchor="sid666880" w:history="1">
        <w:r w:rsidRPr="008E15BD">
          <w:rPr>
            <w:rStyle w:val="Hyperlink"/>
            <w:rFonts w:ascii="Times New Roman" w:hAnsi="Times New Roman"/>
            <w:color w:val="auto"/>
            <w:sz w:val="24"/>
            <w:szCs w:val="24"/>
            <w:lang w:eastAsia="hu-HU"/>
          </w:rPr>
          <w:t>e) pont</w:t>
        </w:r>
      </w:hyperlink>
      <w:r w:rsidRPr="008E15BD">
        <w:rPr>
          <w:rFonts w:ascii="Times New Roman" w:hAnsi="Times New Roman"/>
          <w:sz w:val="24"/>
          <w:szCs w:val="24"/>
          <w:lang w:eastAsia="hu-HU"/>
        </w:rPr>
        <w:t xml:space="preserve"> szerinti kategóriákba nem tartozó, a forgatás és technikai kiszolgálás helyszínétől területileg elválasztható háttérkiszolgáló egységek és járművek által elfoglalt terület. </w:t>
      </w:r>
    </w:p>
    <w:p w:rsidR="00EE0961" w:rsidRDefault="00EE0961" w:rsidP="008E15BD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E15BD">
        <w:rPr>
          <w:rFonts w:ascii="Times New Roman" w:hAnsi="Times New Roman"/>
          <w:sz w:val="24"/>
          <w:szCs w:val="24"/>
          <w:lang w:eastAsia="hu-HU"/>
        </w:rPr>
        <w:t>e) 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</w:t>
      </w:r>
    </w:p>
    <w:p w:rsidR="00EE0961" w:rsidRPr="009F2A42" w:rsidRDefault="00EE0961" w:rsidP="00D20A7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/>
          <w:sz w:val="24"/>
          <w:szCs w:val="24"/>
          <w:lang w:eastAsia="hu-HU"/>
        </w:rPr>
        <w:t>3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) A fizetendő díj 30%-kal csökken, ha a közterület használat nem haladja meg a 30 napot. </w:t>
      </w:r>
    </w:p>
    <w:p w:rsidR="00EE0961" w:rsidRPr="009F2A42" w:rsidRDefault="00EE0961" w:rsidP="00D20A71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4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) Ha a hatósági szerződés szerint a közterület használat a (2) bekezdés alapján nem haladja meg a 30 napot, de a tényleges használat annál hosszabb, a közterület használat teljes időtartamára a díjat a kedvezmény figyelmen kívül hagyásával kell megfizetni. 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(5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) A fizetetői díj 50 %-kal csökken, ha a film fogatásának célja </w:t>
      </w:r>
      <w:r>
        <w:rPr>
          <w:rFonts w:ascii="Times New Roman" w:hAnsi="Times New Roman"/>
          <w:sz w:val="24"/>
          <w:szCs w:val="24"/>
          <w:lang w:eastAsia="hu-HU"/>
        </w:rPr>
        <w:t xml:space="preserve">Harc </w:t>
      </w:r>
      <w:r w:rsidRPr="009F2A42">
        <w:rPr>
          <w:rFonts w:ascii="Times New Roman" w:hAnsi="Times New Roman"/>
          <w:sz w:val="24"/>
          <w:szCs w:val="24"/>
          <w:lang w:eastAsia="hu-HU"/>
        </w:rPr>
        <w:t>történelmének, kulturális örökségének, egyházi életének, gazdasági, tudományos, művészeti értékeinek, sportjának, kulturális életének, közművelődési kínálatának, közösségi szintereinek, civil szervezeteinek és tevékenységüknek az épített és természeti környezet értékeinek, turisztikai nevezetességeinek bemutatása.</w:t>
      </w:r>
    </w:p>
    <w:p w:rsidR="00EE0961" w:rsidRPr="009F2A42" w:rsidRDefault="00EE0961" w:rsidP="009F2A42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4. §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Mentes a díj fizetés alól a mozgóképről szóló törvény szerinti közérdekű célokat szolgáló film forgatása, ha forgatás időtartama nem haladja meg a 15 napot, filmművészeti állami felsőoktatási képzés keretében készülő film forgatása esetén a harminc napot. </w:t>
      </w:r>
    </w:p>
    <w:p w:rsidR="00EE0961" w:rsidRPr="009F2A42" w:rsidRDefault="00EE0961" w:rsidP="009F2A4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5. §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>A Képviselő- testület a hatósági szerződés jóváhagyásával, és a</w:t>
      </w:r>
      <w:r w:rsidRPr="009F2A42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mozgóképekről szóló 2004. évi II. törvény 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39/B.  § (1), (3) bekezdése szerinti döntéssel kapcsolatos hatáskörét átruházza a polgármesterre. </w:t>
      </w:r>
    </w:p>
    <w:p w:rsidR="00EE0961" w:rsidRDefault="00EE0961" w:rsidP="009F2A4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EE0961" w:rsidRPr="009F2A42" w:rsidRDefault="00EE0961" w:rsidP="009F2A42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6. §</w:t>
      </w:r>
    </w:p>
    <w:p w:rsidR="00EE0961" w:rsidRPr="009F2A42" w:rsidRDefault="00EE0961" w:rsidP="009F2A42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A közterület filmforgatási célú igénybevételével kapcsolatos eljárásra a mozgóképekről szóló 2004. évi II. törvény, és a települési önkormányzat tulajdonában álló közterület filmforgatási célú használatára vonatkozó eljáráshoz kapcsolódó igazgatási szolgáltatási díjakról szóló 16/2013. (VII. 11.) KIM rendelet rendelkezései irányadók. </w:t>
      </w:r>
    </w:p>
    <w:p w:rsidR="00EE0961" w:rsidRPr="009F2A42" w:rsidRDefault="00EE0961" w:rsidP="009F2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9F2A42">
      <w:pPr>
        <w:numPr>
          <w:ilvl w:val="0"/>
          <w:numId w:val="9"/>
        </w:numPr>
        <w:spacing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F2A42">
        <w:rPr>
          <w:rFonts w:ascii="Times New Roman" w:hAnsi="Times New Roman"/>
          <w:b/>
          <w:sz w:val="24"/>
          <w:szCs w:val="24"/>
          <w:lang w:eastAsia="hu-HU"/>
        </w:rPr>
        <w:t>§</w:t>
      </w:r>
    </w:p>
    <w:p w:rsidR="00EE0961" w:rsidRPr="009F2A42" w:rsidRDefault="00EE0961" w:rsidP="009F2A42">
      <w:pPr>
        <w:spacing w:after="120" w:line="36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EE0961" w:rsidRPr="009F2A42" w:rsidRDefault="00EE0961" w:rsidP="009F2A42">
      <w:pPr>
        <w:numPr>
          <w:ilvl w:val="1"/>
          <w:numId w:val="9"/>
        </w:numPr>
        <w:tabs>
          <w:tab w:val="clear" w:pos="1440"/>
        </w:tabs>
        <w:spacing w:after="120" w:line="240" w:lineRule="auto"/>
        <w:ind w:left="23" w:hanging="23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FootnoteReference"/>
          <w:b/>
        </w:rPr>
        <w:footnoteReference w:id="6"/>
      </w:r>
      <w:r>
        <w:rPr>
          <w:rStyle w:val="FootnoteReference"/>
          <w:rFonts w:ascii="Times New Roman" w:hAnsi="Times New Roman"/>
          <w:sz w:val="24"/>
          <w:szCs w:val="24"/>
          <w:lang w:eastAsia="hu-HU"/>
        </w:rPr>
        <w:footnoteReference w:id="7"/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Ez a rendelet 2013. augusztus </w:t>
      </w:r>
      <w:r>
        <w:rPr>
          <w:rFonts w:ascii="Times New Roman" w:hAnsi="Times New Roman"/>
          <w:sz w:val="24"/>
          <w:szCs w:val="24"/>
          <w:lang w:eastAsia="hu-HU"/>
        </w:rPr>
        <w:t>1-j</w:t>
      </w:r>
      <w:r w:rsidRPr="009F2A42">
        <w:rPr>
          <w:rFonts w:ascii="Times New Roman" w:hAnsi="Times New Roman"/>
          <w:sz w:val="24"/>
          <w:szCs w:val="24"/>
          <w:lang w:eastAsia="hu-HU"/>
        </w:rPr>
        <w:t>én</w:t>
      </w:r>
      <w:r w:rsidRPr="009F2A42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lép hatályba. </w:t>
      </w:r>
    </w:p>
    <w:p w:rsidR="00EE0961" w:rsidRPr="009F2A42" w:rsidRDefault="00EE0961" w:rsidP="009F2A42">
      <w:pPr>
        <w:spacing w:after="120"/>
        <w:ind w:left="1080"/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9F2A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(2) </w:t>
      </w:r>
      <w:r>
        <w:rPr>
          <w:rFonts w:ascii="Times New Roman" w:hAnsi="Times New Roman"/>
          <w:sz w:val="24"/>
          <w:szCs w:val="24"/>
          <w:lang w:eastAsia="hu-HU"/>
        </w:rPr>
        <w:t xml:space="preserve">      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Kihirdetéséről helyben szokásos módon a jegyző gondoskodik. </w:t>
      </w:r>
    </w:p>
    <w:p w:rsidR="00EE0961" w:rsidRPr="009F2A42" w:rsidRDefault="00EE0961" w:rsidP="009F2A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9F2A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A532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smartTag w:uri="urn:schemas-microsoft-com:office:smarttags" w:element="PersonName">
        <w:smartTagPr>
          <w:attr w:name="ProductID" w:val="Siposné Csajbók Gabriella"/>
        </w:smartTagPr>
        <w:r>
          <w:rPr>
            <w:rFonts w:ascii="Times New Roman" w:hAnsi="Times New Roman"/>
            <w:sz w:val="24"/>
            <w:szCs w:val="24"/>
            <w:lang w:eastAsia="hu-HU"/>
          </w:rPr>
          <w:t>Siposné Csajbók Gabriella</w:t>
        </w:r>
      </w:smartTag>
      <w:r>
        <w:rPr>
          <w:rFonts w:ascii="Times New Roman" w:hAnsi="Times New Roman"/>
          <w:sz w:val="24"/>
          <w:szCs w:val="24"/>
          <w:lang w:eastAsia="hu-HU"/>
        </w:rPr>
        <w:t xml:space="preserve"> sk.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 xml:space="preserve">  </w:t>
      </w:r>
      <w:r w:rsidRPr="009F2A42">
        <w:rPr>
          <w:rFonts w:ascii="Times New Roman" w:hAnsi="Times New Roman"/>
          <w:sz w:val="24"/>
          <w:szCs w:val="24"/>
          <w:lang w:eastAsia="hu-HU"/>
        </w:rPr>
        <w:t xml:space="preserve">dr. Baranyai Eszter </w:t>
      </w:r>
      <w:r>
        <w:rPr>
          <w:rFonts w:ascii="Times New Roman" w:hAnsi="Times New Roman"/>
          <w:sz w:val="24"/>
          <w:szCs w:val="24"/>
          <w:lang w:eastAsia="hu-HU"/>
        </w:rPr>
        <w:t>sk.</w:t>
      </w:r>
    </w:p>
    <w:p w:rsidR="00EE0961" w:rsidRPr="009F2A42" w:rsidRDefault="00EE0961" w:rsidP="009F2A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9F2A42">
        <w:rPr>
          <w:rFonts w:ascii="Times New Roman" w:hAnsi="Times New Roman"/>
          <w:sz w:val="24"/>
          <w:szCs w:val="24"/>
          <w:lang w:eastAsia="hu-HU"/>
        </w:rPr>
        <w:t xml:space="preserve">        </w:t>
      </w:r>
      <w:r w:rsidRPr="009F2A42">
        <w:rPr>
          <w:rFonts w:ascii="Times New Roman" w:hAnsi="Times New Roman"/>
          <w:sz w:val="24"/>
          <w:szCs w:val="24"/>
          <w:lang w:eastAsia="hu-HU"/>
        </w:rPr>
        <w:tab/>
        <w:t xml:space="preserve">polgármester </w:t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sz w:val="24"/>
          <w:szCs w:val="24"/>
          <w:lang w:eastAsia="hu-HU"/>
        </w:rPr>
        <w:tab/>
        <w:t xml:space="preserve">jegyző </w:t>
      </w:r>
    </w:p>
    <w:p w:rsidR="00EE0961" w:rsidRPr="009F2A42" w:rsidRDefault="00EE0961" w:rsidP="009F2A4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9F2A42">
      <w:pPr>
        <w:autoSpaceDE w:val="0"/>
        <w:autoSpaceDN w:val="0"/>
        <w:adjustRightInd w:val="0"/>
        <w:spacing w:before="120"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9F2A42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Kihirdetési záradék:</w:t>
      </w: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rendelet 2013. július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16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á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n kihirdetésre került.</w:t>
      </w: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Harc, 2013. július 16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</w: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  <w:t>Balogh Györgyi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sk.</w:t>
      </w:r>
    </w:p>
    <w:p w:rsidR="00EE0961" w:rsidRPr="009F2A42" w:rsidRDefault="00EE0961" w:rsidP="00CE4A16">
      <w:pPr>
        <w:tabs>
          <w:tab w:val="center" w:pos="649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  <w:t>irodavezető</w:t>
      </w: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</w:p>
    <w:p w:rsidR="00EE0961" w:rsidRPr="009F2A42" w:rsidRDefault="00EE0961" w:rsidP="00CE4A16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Kihirdetési záradék II:</w:t>
      </w:r>
    </w:p>
    <w:p w:rsidR="00EE0961" w:rsidRDefault="00EE0961" w:rsidP="009F2A42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A rendelet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et módosító 9/2013 (VIII.12. ) önkormányzati rendelet 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2013.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augusztus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7-é</w:t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n kihirdetésre került.</w:t>
      </w: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Pr="009F2A42" w:rsidRDefault="00EE0961" w:rsidP="002D070C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Harc, 2013. augusztus 7.</w:t>
      </w: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</w: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>Balogh Györgyi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sk.</w:t>
      </w:r>
    </w:p>
    <w:p w:rsidR="00EE0961" w:rsidRPr="009F2A42" w:rsidRDefault="00EE0961" w:rsidP="009F2A42">
      <w:pPr>
        <w:tabs>
          <w:tab w:val="center" w:pos="649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9F2A42">
        <w:rPr>
          <w:rFonts w:ascii="Times New Roman" w:hAnsi="Times New Roman"/>
          <w:color w:val="000000"/>
          <w:sz w:val="24"/>
          <w:szCs w:val="24"/>
          <w:lang w:eastAsia="hu-HU"/>
        </w:rPr>
        <w:tab/>
        <w:t>irodavezető</w:t>
      </w:r>
    </w:p>
    <w:p w:rsidR="00EE0961" w:rsidRPr="009F2A42" w:rsidRDefault="00EE0961" w:rsidP="009F2A42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EE0961" w:rsidRDefault="00EE0961" w:rsidP="00503C75">
      <w:pPr>
        <w:pStyle w:val="NormalWeb"/>
        <w:tabs>
          <w:tab w:val="center" w:pos="2880"/>
          <w:tab w:val="center" w:pos="6480"/>
          <w:tab w:val="center" w:pos="7920"/>
        </w:tabs>
        <w:spacing w:before="0" w:beforeAutospacing="0" w:after="0" w:afterAutospacing="0"/>
        <w:ind w:right="284"/>
      </w:pPr>
    </w:p>
    <w:p w:rsidR="00EE0961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B600AF">
        <w:rPr>
          <w:rFonts w:ascii="Times New Roman" w:hAnsi="Times New Roman"/>
          <w:b/>
          <w:sz w:val="24"/>
          <w:szCs w:val="24"/>
          <w:u w:val="single"/>
          <w:lang w:eastAsia="hu-HU"/>
        </w:rPr>
        <w:t>Kihirdetési záradék III:</w:t>
      </w:r>
    </w:p>
    <w:p w:rsidR="00EE0961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EE0961" w:rsidRPr="00B600AF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>A rendeletet módosító 4/2015.(II.16.) önkormányzati rendelet 2015. február 16-án kihirdetésre került.</w:t>
      </w:r>
    </w:p>
    <w:p w:rsidR="00EE0961" w:rsidRPr="00B600AF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E0961" w:rsidRPr="00B600AF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>Harc, 2015. február 16.</w:t>
      </w:r>
    </w:p>
    <w:p w:rsidR="00EE0961" w:rsidRPr="00B600AF" w:rsidRDefault="00EE0961" w:rsidP="000C002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E0961" w:rsidRPr="00B600AF" w:rsidRDefault="00EE0961" w:rsidP="001C1B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  <w:t>Balogh Györgyi</w:t>
      </w:r>
      <w:r>
        <w:rPr>
          <w:rFonts w:ascii="Times New Roman" w:hAnsi="Times New Roman"/>
          <w:sz w:val="24"/>
          <w:szCs w:val="24"/>
          <w:lang w:eastAsia="hu-HU"/>
        </w:rPr>
        <w:t xml:space="preserve"> sk.</w:t>
      </w:r>
    </w:p>
    <w:p w:rsidR="00EE0961" w:rsidRPr="00B600AF" w:rsidRDefault="00EE0961" w:rsidP="001C1BC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  <w:t xml:space="preserve">     aljegyző</w:t>
      </w:r>
    </w:p>
    <w:p w:rsidR="00EE0961" w:rsidRDefault="00EE0961" w:rsidP="001C1BCD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1C1BCD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1C1BCD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Kihirdetési záradék </w:t>
      </w:r>
      <w:r w:rsidRPr="00B600AF">
        <w:rPr>
          <w:rFonts w:ascii="Times New Roman" w:hAnsi="Times New Roman"/>
          <w:b/>
          <w:sz w:val="24"/>
          <w:szCs w:val="24"/>
          <w:u w:val="single"/>
          <w:lang w:eastAsia="hu-HU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V</w:t>
      </w:r>
      <w:r w:rsidRPr="00B600AF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 xml:space="preserve">A rendeletet módosító 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 w:rsidRPr="00B600AF">
        <w:rPr>
          <w:rFonts w:ascii="Times New Roman" w:hAnsi="Times New Roman"/>
          <w:sz w:val="24"/>
          <w:szCs w:val="24"/>
          <w:lang w:eastAsia="hu-HU"/>
        </w:rPr>
        <w:t>/201</w:t>
      </w:r>
      <w:r>
        <w:rPr>
          <w:rFonts w:ascii="Times New Roman" w:hAnsi="Times New Roman"/>
          <w:sz w:val="24"/>
          <w:szCs w:val="24"/>
          <w:lang w:eastAsia="hu-HU"/>
        </w:rPr>
        <w:t>6</w:t>
      </w:r>
      <w:r w:rsidRPr="00B600AF">
        <w:rPr>
          <w:rFonts w:ascii="Times New Roman" w:hAnsi="Times New Roman"/>
          <w:sz w:val="24"/>
          <w:szCs w:val="24"/>
          <w:lang w:eastAsia="hu-HU"/>
        </w:rPr>
        <w:t>.(</w:t>
      </w:r>
      <w:r>
        <w:rPr>
          <w:rFonts w:ascii="Times New Roman" w:hAnsi="Times New Roman"/>
          <w:sz w:val="24"/>
          <w:szCs w:val="24"/>
          <w:lang w:eastAsia="hu-HU"/>
        </w:rPr>
        <w:t>X.1.)</w:t>
      </w:r>
      <w:r w:rsidRPr="00B600AF">
        <w:rPr>
          <w:rFonts w:ascii="Times New Roman" w:hAnsi="Times New Roman"/>
          <w:sz w:val="24"/>
          <w:szCs w:val="24"/>
          <w:lang w:eastAsia="hu-HU"/>
        </w:rPr>
        <w:t>.) önkormányzati rendelet 201</w:t>
      </w:r>
      <w:r>
        <w:rPr>
          <w:rFonts w:ascii="Times New Roman" w:hAnsi="Times New Roman"/>
          <w:sz w:val="24"/>
          <w:szCs w:val="24"/>
          <w:lang w:eastAsia="hu-HU"/>
        </w:rPr>
        <w:t>6.szeptember ….</w:t>
      </w:r>
      <w:r w:rsidRPr="00B600AF">
        <w:rPr>
          <w:rFonts w:ascii="Times New Roman" w:hAnsi="Times New Roman"/>
          <w:sz w:val="24"/>
          <w:szCs w:val="24"/>
          <w:lang w:eastAsia="hu-HU"/>
        </w:rPr>
        <w:t>-án kihirdetésre került.</w:t>
      </w:r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Egységes szerkezetbe foglalva: 2016. szeptember….</w:t>
      </w:r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 xml:space="preserve">Harc, </w:t>
      </w:r>
      <w:r>
        <w:rPr>
          <w:rFonts w:ascii="Times New Roman" w:hAnsi="Times New Roman"/>
          <w:sz w:val="24"/>
          <w:szCs w:val="24"/>
          <w:lang w:eastAsia="hu-HU"/>
        </w:rPr>
        <w:t>2016. szeptember</w:t>
      </w: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  <w:t>Balogh Györgyi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E0961" w:rsidRPr="00B600AF" w:rsidRDefault="00EE0961" w:rsidP="0014406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</w:r>
      <w:r w:rsidRPr="00B600AF">
        <w:rPr>
          <w:rFonts w:ascii="Times New Roman" w:hAnsi="Times New Roman"/>
          <w:sz w:val="24"/>
          <w:szCs w:val="24"/>
          <w:lang w:eastAsia="hu-HU"/>
        </w:rPr>
        <w:tab/>
        <w:t xml:space="preserve">     aljegyző</w:t>
      </w: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Default="00EE0961" w:rsidP="0014406F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p w:rsidR="00EE0961" w:rsidRPr="00F33B9C" w:rsidRDefault="00EE0961" w:rsidP="009F2A42">
      <w:pPr>
        <w:autoSpaceDE w:val="0"/>
        <w:autoSpaceDN w:val="0"/>
        <w:adjustRightInd w:val="0"/>
        <w:spacing w:before="120" w:after="0" w:line="240" w:lineRule="auto"/>
        <w:ind w:left="4248" w:firstLine="708"/>
        <w:rPr>
          <w:rFonts w:ascii="Times New Roman" w:hAnsi="Times New Roman"/>
          <w:sz w:val="24"/>
          <w:szCs w:val="24"/>
          <w:lang w:eastAsia="hu-HU"/>
        </w:rPr>
      </w:pPr>
    </w:p>
    <w:sectPr w:rsidR="00EE0961" w:rsidRPr="00F33B9C" w:rsidSect="00C87E85">
      <w:footerReference w:type="even" r:id="rId14"/>
      <w:footerReference w:type="default" r:id="rId15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61" w:rsidRDefault="00EE0961">
      <w:pPr>
        <w:spacing w:after="0" w:line="240" w:lineRule="auto"/>
      </w:pPr>
      <w:r>
        <w:separator/>
      </w:r>
    </w:p>
  </w:endnote>
  <w:endnote w:type="continuationSeparator" w:id="0">
    <w:p w:rsidR="00EE0961" w:rsidRDefault="00EE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félkövér">
    <w:panose1 w:val="02020803070505020304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61" w:rsidRDefault="00EE0961">
    <w:pPr>
      <w:pStyle w:val="Footer"/>
      <w:jc w:val="right"/>
    </w:pPr>
    <w:fldSimple w:instr=" PAGE ">
      <w:r>
        <w:rPr>
          <w:noProof/>
        </w:rPr>
        <w:t>1</w:t>
      </w:r>
    </w:fldSimple>
    <w:r>
      <w:t xml:space="preserve">. oldal, összesen: </w:t>
    </w:r>
    <w:fldSimple w:instr=" NUMPAGES \*Arabic ">
      <w:r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61" w:rsidRDefault="00EE0961" w:rsidP="007A7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961" w:rsidRDefault="00EE0961" w:rsidP="004562B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61" w:rsidRDefault="00EE0961" w:rsidP="007A7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E0961" w:rsidRDefault="00EE0961" w:rsidP="0045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61" w:rsidRDefault="00EE0961">
      <w:pPr>
        <w:spacing w:after="0" w:line="240" w:lineRule="auto"/>
      </w:pPr>
      <w:r>
        <w:separator/>
      </w:r>
    </w:p>
  </w:footnote>
  <w:footnote w:type="continuationSeparator" w:id="0">
    <w:p w:rsidR="00EE0961" w:rsidRDefault="00EE0961">
      <w:pPr>
        <w:spacing w:after="0" w:line="240" w:lineRule="auto"/>
      </w:pPr>
      <w:r>
        <w:continuationSeparator/>
      </w:r>
    </w:p>
  </w:footnote>
  <w:footnote w:id="1">
    <w:p w:rsidR="00EE0961" w:rsidRDefault="00EE0961" w:rsidP="00F110D4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rendelet: 9/2013. (VIII..12.) Ör. hatályos: 2013. augusztus 12-től</w:t>
      </w:r>
    </w:p>
  </w:footnote>
  <w:footnote w:id="2">
    <w:p w:rsidR="00EE0961" w:rsidRDefault="00EE0961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 4/2015. (II.16.) Ör. Hatályos: 2015. február 16-tól</w:t>
      </w:r>
    </w:p>
  </w:footnote>
  <w:footnote w:id="3">
    <w:p w:rsidR="00EE0961" w:rsidRDefault="00EE0961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 : …./2016. (…..) ör. hatályos:2016. október 1-től</w:t>
      </w:r>
    </w:p>
  </w:footnote>
  <w:footnote w:id="4">
    <w:p w:rsidR="00EE0961" w:rsidRDefault="00EE0961" w:rsidP="002D070C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rendelet:</w:t>
      </w:r>
      <w:r w:rsidRPr="002D070C">
        <w:t xml:space="preserve"> </w:t>
      </w:r>
      <w:r>
        <w:t>9/2013. (VIII..12.) Ör. hatályos: 2013. augusztus 12-től</w:t>
      </w:r>
    </w:p>
  </w:footnote>
  <w:footnote w:id="5">
    <w:p w:rsidR="00EE0961" w:rsidRDefault="00EE0961">
      <w:pPr>
        <w:pStyle w:val="FootnoteText"/>
      </w:pPr>
      <w:r>
        <w:rPr>
          <w:rStyle w:val="FootnoteReference"/>
        </w:rPr>
        <w:footnoteRef/>
      </w:r>
      <w:r>
        <w:t xml:space="preserve"> módosította a …./2016. (…..) ör. 1. §-a. Hatályos: 2016. október 1-től</w:t>
      </w:r>
    </w:p>
  </w:footnote>
  <w:footnote w:id="6">
    <w:p w:rsidR="00EE0961" w:rsidRDefault="00EE0961" w:rsidP="00CE4A16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rendelet:</w:t>
      </w:r>
      <w:r w:rsidRPr="002D070C">
        <w:t xml:space="preserve"> </w:t>
      </w:r>
      <w:r>
        <w:t>9/2013. (VIII..12.) Ör. hatályos: 2013. augusztus 12-től</w:t>
      </w:r>
    </w:p>
  </w:footnote>
  <w:footnote w:id="7">
    <w:p w:rsidR="00EE0961" w:rsidRDefault="00EE0961" w:rsidP="001C1BCD">
      <w:pPr>
        <w:pStyle w:val="FootnoteText"/>
      </w:pPr>
      <w:r>
        <w:rPr>
          <w:rStyle w:val="FootnoteReference"/>
        </w:rPr>
        <w:footnoteRef/>
      </w:r>
      <w:r>
        <w:t xml:space="preserve"> A rendeletet módosító önkormányzati rendelet 4/2015. (II.16.) Ör. Hatályos: 2015. február 16-tól</w:t>
      </w:r>
    </w:p>
    <w:p w:rsidR="00EE0961" w:rsidRDefault="00EE0961" w:rsidP="001C1BC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615"/>
    <w:multiLevelType w:val="hybridMultilevel"/>
    <w:tmpl w:val="94201E0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EA993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878BF"/>
    <w:multiLevelType w:val="hybridMultilevel"/>
    <w:tmpl w:val="3BD6EED8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77940"/>
    <w:multiLevelType w:val="hybridMultilevel"/>
    <w:tmpl w:val="9AD089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36669"/>
    <w:multiLevelType w:val="hybridMultilevel"/>
    <w:tmpl w:val="9162C656"/>
    <w:lvl w:ilvl="0" w:tplc="FC0E4A9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E3B89"/>
    <w:multiLevelType w:val="hybridMultilevel"/>
    <w:tmpl w:val="E7BCAFF6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16A74"/>
    <w:multiLevelType w:val="hybridMultilevel"/>
    <w:tmpl w:val="94E0D33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FA2129"/>
    <w:multiLevelType w:val="hybridMultilevel"/>
    <w:tmpl w:val="E2AA4004"/>
    <w:lvl w:ilvl="0" w:tplc="EA5E9E72">
      <w:start w:val="1"/>
      <w:numFmt w:val="decimal"/>
      <w:lvlText w:val="(%1)"/>
      <w:lvlJc w:val="left"/>
      <w:pPr>
        <w:ind w:left="8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7">
    <w:nsid w:val="54643509"/>
    <w:multiLevelType w:val="hybridMultilevel"/>
    <w:tmpl w:val="53E625AE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554385"/>
    <w:multiLevelType w:val="hybridMultilevel"/>
    <w:tmpl w:val="9F0C061A"/>
    <w:lvl w:ilvl="0" w:tplc="87A8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4D2629"/>
    <w:multiLevelType w:val="hybridMultilevel"/>
    <w:tmpl w:val="FE2C9A7E"/>
    <w:lvl w:ilvl="0" w:tplc="409AE1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7CE"/>
    <w:rsid w:val="000233C2"/>
    <w:rsid w:val="000277CE"/>
    <w:rsid w:val="00085BF0"/>
    <w:rsid w:val="000C0029"/>
    <w:rsid w:val="000E0066"/>
    <w:rsid w:val="000E2449"/>
    <w:rsid w:val="0014406F"/>
    <w:rsid w:val="001C1BCD"/>
    <w:rsid w:val="00245F49"/>
    <w:rsid w:val="002D070C"/>
    <w:rsid w:val="00311176"/>
    <w:rsid w:val="003623E3"/>
    <w:rsid w:val="00403347"/>
    <w:rsid w:val="004562B5"/>
    <w:rsid w:val="00475F69"/>
    <w:rsid w:val="004C1FC8"/>
    <w:rsid w:val="00503C75"/>
    <w:rsid w:val="00514047"/>
    <w:rsid w:val="00535107"/>
    <w:rsid w:val="005921B8"/>
    <w:rsid w:val="00601BAA"/>
    <w:rsid w:val="006B37C6"/>
    <w:rsid w:val="00754557"/>
    <w:rsid w:val="007A7168"/>
    <w:rsid w:val="0082619E"/>
    <w:rsid w:val="00854413"/>
    <w:rsid w:val="008867F0"/>
    <w:rsid w:val="008D5B13"/>
    <w:rsid w:val="008E15BD"/>
    <w:rsid w:val="00951291"/>
    <w:rsid w:val="009640FA"/>
    <w:rsid w:val="009B2A94"/>
    <w:rsid w:val="009F2A42"/>
    <w:rsid w:val="00A532A3"/>
    <w:rsid w:val="00A71562"/>
    <w:rsid w:val="00A75632"/>
    <w:rsid w:val="00A9702A"/>
    <w:rsid w:val="00AC599C"/>
    <w:rsid w:val="00B50B99"/>
    <w:rsid w:val="00B600AF"/>
    <w:rsid w:val="00BE5D90"/>
    <w:rsid w:val="00BF1066"/>
    <w:rsid w:val="00C15262"/>
    <w:rsid w:val="00C2467B"/>
    <w:rsid w:val="00C5713D"/>
    <w:rsid w:val="00C87E85"/>
    <w:rsid w:val="00C90336"/>
    <w:rsid w:val="00CA7C47"/>
    <w:rsid w:val="00CE4A16"/>
    <w:rsid w:val="00D20A71"/>
    <w:rsid w:val="00E376F3"/>
    <w:rsid w:val="00EE0961"/>
    <w:rsid w:val="00F110D4"/>
    <w:rsid w:val="00F33B9C"/>
    <w:rsid w:val="00F7323B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77CE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0277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B3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503C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110D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10D4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F110D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E15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506" TargetMode="External"/><Relationship Id="rId13" Type="http://schemas.openxmlformats.org/officeDocument/2006/relationships/hyperlink" Target="https://www.opten.hu/optijus/lawtext/50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opten.hu/optijus/lawtext/50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en.hu/optijus/lawtext/5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opten.hu/optijus/lawtext/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5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896</Words>
  <Characters>6186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KÖZSÉG ÖNKORMÁNYZATA KÉPVISELŐ-TESTÜLETÉNEK</dc:title>
  <dc:subject/>
  <dc:creator>ALJEGYZŐ</dc:creator>
  <cp:keywords/>
  <dc:description/>
  <cp:lastModifiedBy>user</cp:lastModifiedBy>
  <cp:revision>2</cp:revision>
  <cp:lastPrinted>2013-08-05T09:17:00Z</cp:lastPrinted>
  <dcterms:created xsi:type="dcterms:W3CDTF">2016-09-05T09:55:00Z</dcterms:created>
  <dcterms:modified xsi:type="dcterms:W3CDTF">2016-09-05T09:55:00Z</dcterms:modified>
</cp:coreProperties>
</file>